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ascii="Times New Roman" w:hAnsi="Times New Roman"/>
        </w:rPr>
      </w:pPr>
      <w:bookmarkStart w:id="0" w:name="OLE_LINK24"/>
      <w:bookmarkStart w:id="1" w:name="OLE_LINK12"/>
      <w:bookmarkStart w:id="2" w:name="OLE_LINK13"/>
      <w:bookmarkStart w:id="3" w:name="OLE_LINK34"/>
      <w:bookmarkStart w:id="4" w:name="OLE_LINK33"/>
      <w:bookmarkStart w:id="9" w:name="_GoBack"/>
      <w:bookmarkEnd w:id="9"/>
      <w:r>
        <w:rPr>
          <w:rFonts w:ascii="Times New Roman" w:hAnsi="Times New Roman"/>
          <w:b/>
        </w:rPr>
        <w:t>3GPP TSG RAN WG1 Meeting #10</w:t>
      </w:r>
      <w:r>
        <w:rPr>
          <w:rFonts w:hint="eastAsia" w:ascii="Times New Roman" w:hAnsi="Times New Roman"/>
          <w:b/>
        </w:rPr>
        <w:t>4</w:t>
      </w:r>
      <w:r>
        <w:rPr>
          <w:rFonts w:ascii="Times New Roman" w:hAnsi="Times New Roman"/>
          <w:b/>
        </w:rPr>
        <w:t xml:space="preserve">-e                                       </w:t>
      </w:r>
      <w:r>
        <w:rPr>
          <w:rFonts w:hint="eastAsia" w:ascii="Times New Roman" w:hAnsi="Times New Roman"/>
          <w:b/>
        </w:rPr>
        <w:t xml:space="preserve"> R1-2100296</w:t>
      </w:r>
    </w:p>
    <w:p>
      <w:pPr>
        <w:tabs>
          <w:tab w:val="center" w:pos="4536"/>
          <w:tab w:val="right" w:pos="8280"/>
          <w:tab w:val="right" w:pos="9639"/>
        </w:tabs>
        <w:snapToGrid w:val="0"/>
        <w:spacing w:after="0" w:line="240" w:lineRule="auto"/>
        <w:ind w:left="442" w:right="2" w:hanging="442" w:hangingChars="200"/>
        <w:rPr>
          <w:rFonts w:ascii="Times New Roman" w:hAnsi="Times New Roman"/>
          <w:b/>
        </w:rPr>
      </w:pPr>
      <w:r>
        <w:rPr>
          <w:rFonts w:ascii="Times New Roman" w:hAnsi="Times New Roman"/>
          <w:b/>
        </w:rPr>
        <w:t xml:space="preserve">e-Meeting, </w:t>
      </w:r>
      <w:r>
        <w:rPr>
          <w:rFonts w:ascii="Times New Roman" w:hAnsi="Times New Roman"/>
          <w:b/>
          <w:lang w:eastAsia="ja-JP"/>
        </w:rPr>
        <w:t>January 25</w:t>
      </w:r>
      <w:r>
        <w:rPr>
          <w:rFonts w:ascii="Times New Roman" w:hAnsi="Times New Roman"/>
          <w:b/>
          <w:vertAlign w:val="superscript"/>
          <w:lang w:eastAsia="ja-JP"/>
        </w:rPr>
        <w:t>th</w:t>
      </w:r>
      <w:r>
        <w:rPr>
          <w:rFonts w:ascii="Times New Roman" w:hAnsi="Times New Roman"/>
          <w:b/>
          <w:lang w:eastAsia="ja-JP"/>
        </w:rPr>
        <w:t xml:space="preserve"> – February 5</w:t>
      </w:r>
      <w:r>
        <w:rPr>
          <w:rFonts w:ascii="Times New Roman" w:hAnsi="Times New Roman"/>
          <w:b/>
          <w:vertAlign w:val="superscript"/>
          <w:lang w:eastAsia="ja-JP"/>
        </w:rPr>
        <w:t>th</w:t>
      </w:r>
      <w:r>
        <w:rPr>
          <w:rFonts w:ascii="Times New Roman" w:hAnsi="Times New Roman"/>
          <w:b/>
        </w:rPr>
        <w:t>, 202</w:t>
      </w:r>
      <w:r>
        <w:rPr>
          <w:rFonts w:hint="eastAsia" w:ascii="Times New Roman" w:hAnsi="Times New Roman"/>
          <w:b/>
        </w:rPr>
        <w:t>1</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767" w:right="2" w:hanging="1767" w:hangingChars="800"/>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 xml:space="preserve">Other accuracy enhancements for NR positioning </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4</w:t>
      </w:r>
    </w:p>
    <w:bookmarkEnd w:id="1"/>
    <w:bookmarkEnd w:id="2"/>
    <w:bookmarkEnd w:id="3"/>
    <w:bookmarkEnd w:id="4"/>
    <w:p>
      <w:pPr>
        <w:pBdr>
          <w:bottom w:val="single" w:color="auto" w:sz="6" w:space="1"/>
        </w:pBdr>
        <w:snapToGrid w:val="0"/>
        <w:spacing w:after="0" w:line="240" w:lineRule="auto"/>
        <w:ind w:left="1797" w:hanging="1797"/>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3GPP</w:t>
      </w:r>
      <w:r>
        <w:rPr>
          <w:rFonts w:hint="eastAsia" w:ascii="Times New Roman" w:hAnsi="Times New Roman"/>
          <w:sz w:val="20"/>
          <w:szCs w:val="20"/>
        </w:rPr>
        <w:t xml:space="preserve"> </w:t>
      </w:r>
      <w:r>
        <w:rPr>
          <w:rFonts w:ascii="Times New Roman" w:hAnsi="Times New Roman"/>
          <w:sz w:val="20"/>
          <w:szCs w:val="20"/>
        </w:rPr>
        <w:t>RAN</w:t>
      </w:r>
      <w:r>
        <w:rPr>
          <w:rFonts w:hint="eastAsia" w:ascii="Times New Roman" w:hAnsi="Times New Roman"/>
          <w:sz w:val="20"/>
          <w:szCs w:val="20"/>
        </w:rPr>
        <w:t>1#103e</w:t>
      </w:r>
      <w:r>
        <w:rPr>
          <w:rFonts w:ascii="Times New Roman" w:hAnsi="Times New Roman"/>
          <w:sz w:val="20"/>
          <w:szCs w:val="20"/>
        </w:rPr>
        <w:t xml:space="preserve"> </w:t>
      </w:r>
      <w:r>
        <w:rPr>
          <w:rFonts w:hint="eastAsia" w:ascii="Times New Roman" w:hAnsi="Times New Roman"/>
          <w:sz w:val="20"/>
          <w:szCs w:val="20"/>
        </w:rPr>
        <w:t>m</w:t>
      </w:r>
      <w:r>
        <w:rPr>
          <w:rFonts w:ascii="Times New Roman" w:hAnsi="Times New Roman"/>
          <w:sz w:val="20"/>
          <w:szCs w:val="20"/>
        </w:rPr>
        <w:t>eeting</w:t>
      </w:r>
      <w:r>
        <w:rPr>
          <w:rFonts w:hint="eastAsia" w:ascii="Times New Roman" w:hAnsi="Times New Roman"/>
          <w:sz w:val="20"/>
          <w:szCs w:val="20"/>
        </w:rPr>
        <w:t>, some potential NR positioning enhancements</w:t>
      </w:r>
      <w:r>
        <w:rPr>
          <w:rFonts w:ascii="Times New Roman" w:hAnsi="Times New Roman"/>
          <w:sz w:val="20"/>
          <w:szCs w:val="20"/>
        </w:rPr>
        <w:t xml:space="preserve"> </w:t>
      </w:r>
      <w:r>
        <w:rPr>
          <w:rFonts w:hint="eastAsia" w:ascii="Times New Roman" w:hAnsi="Times New Roman"/>
          <w:sz w:val="20"/>
          <w:szCs w:val="20"/>
        </w:rPr>
        <w:t xml:space="preserve">to increase positioning accuracy have been captured in TR 38.857 [1], mainly including multipath mitigation techniques, aggregation of DL or UL PRS resources, enhancements for UE Rx/Tx and gNB Rx/Tx timing delays, enhancements for angle based methods, enhancements of information reporting from UE and gNB for supporting multipath/NLOS mitigation.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However, due to RAN2 hasn</w:t>
      </w:r>
      <w:r>
        <w:rPr>
          <w:rFonts w:ascii="Times New Roman" w:hAnsi="Times New Roman"/>
          <w:sz w:val="20"/>
          <w:szCs w:val="20"/>
        </w:rPr>
        <w:t>’</w:t>
      </w:r>
      <w:r>
        <w:rPr>
          <w:rFonts w:hint="eastAsia" w:ascii="Times New Roman" w:hAnsi="Times New Roman"/>
          <w:sz w:val="20"/>
          <w:szCs w:val="20"/>
        </w:rPr>
        <w:t xml:space="preserve">t finished study item phase, it was only agreed in WID [2] for mitigating UE Rx/Tx and/or gNB Rx/Tx timing delays and enhancements for angle based methods. Some other good solutions for accuracy improvement, especially aggregation of DL or UL PRS resources, supporting multipath/NLOS mitigation are not </w:t>
      </w:r>
      <w:r>
        <w:rPr>
          <w:rFonts w:ascii="Times New Roman" w:hAnsi="Times New Roman"/>
          <w:sz w:val="20"/>
          <w:szCs w:val="20"/>
        </w:rPr>
        <w:t>included in the WID</w:t>
      </w:r>
      <w:r>
        <w:rPr>
          <w:rFonts w:hint="eastAsia" w:ascii="Times New Roman" w:hAnsi="Times New Roman"/>
          <w:sz w:val="20"/>
          <w:szCs w:val="20"/>
        </w:rPr>
        <w:t xml:space="preserve"> yet.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Since one main factor impacting positioning accuracy is positioning RS bandwidth, the solution with aggregation of DL or UL PRS resources can increase positioning RS bandwidth without requirement of a very large frequency layer or carrier, and further improve positioning accuracy for either DL and UL measurement. We propose to further include aggregation of DL or UL PRS resources related enhancement</w:t>
      </w:r>
      <w:r>
        <w:rPr>
          <w:rFonts w:ascii="Times New Roman" w:hAnsi="Times New Roman"/>
          <w:sz w:val="20"/>
          <w:szCs w:val="20"/>
        </w:rPr>
        <w:t xml:space="preserve"> </w:t>
      </w:r>
      <w:r>
        <w:rPr>
          <w:rFonts w:hint="eastAsia" w:ascii="Times New Roman" w:hAnsi="Times New Roman"/>
          <w:sz w:val="20"/>
          <w:szCs w:val="20"/>
        </w:rPr>
        <w:t>in Rel-17 WID</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addition, based on the many simulation results in SI, very good performance improvement can be observed by some enhancement with multipath/NLOS mitigation.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analyze the potential spec impact for aggregation of DL and UL PRS resources related enhancements. Further, we provide our views on the enhancement for multipath/NLOS mitigation. </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Aggregation of DL or UL positioning resources</w:t>
      </w:r>
    </w:p>
    <w:p>
      <w:pPr>
        <w:snapToGrid w:val="0"/>
        <w:jc w:val="both"/>
        <w:rPr>
          <w:rFonts w:ascii="Times New Roman" w:hAnsi="Times New Roman"/>
          <w:sz w:val="20"/>
          <w:szCs w:val="20"/>
        </w:rPr>
      </w:pPr>
      <w:r>
        <w:rPr>
          <w:rFonts w:hint="eastAsia" w:ascii="Times New Roman" w:hAnsi="Times New Roman"/>
          <w:sz w:val="20"/>
          <w:szCs w:val="20"/>
        </w:rPr>
        <w:t>In SI, many simulation results [1] were provided to justify the performance benefit of aggregation of DL and UL PRS resources, where PRS resources in multiple frequency layers</w:t>
      </w:r>
      <w:r>
        <w:rPr>
          <w:rFonts w:ascii="Times New Roman" w:hAnsi="Times New Roman"/>
          <w:sz w:val="20"/>
          <w:szCs w:val="20"/>
        </w:rPr>
        <w:t xml:space="preserve"> </w:t>
      </w:r>
      <w:r>
        <w:rPr>
          <w:rFonts w:hint="eastAsia" w:ascii="Times New Roman" w:hAnsi="Times New Roman"/>
          <w:sz w:val="20"/>
          <w:szCs w:val="20"/>
        </w:rPr>
        <w:t>(FL) or SRS resources in multiple carriers</w:t>
      </w:r>
      <w:r>
        <w:rPr>
          <w:rFonts w:ascii="Times New Roman" w:hAnsi="Times New Roman"/>
          <w:sz w:val="20"/>
          <w:szCs w:val="20"/>
        </w:rPr>
        <w:t xml:space="preserve"> </w:t>
      </w:r>
      <w:r>
        <w:rPr>
          <w:rFonts w:hint="eastAsia" w:ascii="Times New Roman" w:hAnsi="Times New Roman"/>
          <w:sz w:val="20"/>
          <w:szCs w:val="20"/>
        </w:rPr>
        <w:t xml:space="preserve">(CC) can be transmitted simultaneously, and receiver can do aggregated reception of these PRS or SRS resources. Since the aggregated frequency layers or CCs provide larger effective bandwidth of positioning reference signals, the time domain resolution to identify channel path is much higher than that measurement based on a single frequency layer or CC. </w:t>
      </w:r>
    </w:p>
    <w:p>
      <w:pPr>
        <w:snapToGrid w:val="0"/>
        <w:jc w:val="both"/>
        <w:rPr>
          <w:rFonts w:ascii="Times New Roman" w:hAnsi="Times New Roman"/>
          <w:sz w:val="20"/>
          <w:szCs w:val="20"/>
        </w:rPr>
      </w:pPr>
      <w:r>
        <w:rPr>
          <w:rFonts w:hint="eastAsia" w:ascii="Times New Roman" w:hAnsi="Times New Roman"/>
          <w:sz w:val="20"/>
          <w:szCs w:val="20"/>
        </w:rPr>
        <w:t xml:space="preserve">Some concerns on phase shift, timing offset and power imbalance among different FLs or CCs were raised in SI and RAN#90e meeting. Especially for FLs or CCs in different bands, transmitters usually use separate RF chains for transmission of positioning RS. The uncertain phase shift, timing error and power imbalance may compromise the measurement accuracy. </w:t>
      </w:r>
    </w:p>
    <w:p>
      <w:pPr>
        <w:snapToGrid w:val="0"/>
        <w:jc w:val="both"/>
        <w:rPr>
          <w:rFonts w:ascii="Times New Roman" w:hAnsi="Times New Roman"/>
          <w:sz w:val="20"/>
          <w:szCs w:val="20"/>
        </w:rPr>
      </w:pPr>
      <w:r>
        <w:rPr>
          <w:rFonts w:hint="eastAsia" w:ascii="Times New Roman" w:hAnsi="Times New Roman"/>
          <w:sz w:val="20"/>
          <w:szCs w:val="20"/>
        </w:rPr>
        <w:t>Because only one RF chain is usually used within one band, very less uncertain phase shift, timing offset and power imbalance among different FLs or CCs can be supposed. Thus, we propose to specify the enhancement with aggregation of DL or UL PRS resources within intra-band contiguous carriers in Rel-17.</w:t>
      </w:r>
    </w:p>
    <w:p>
      <w:pPr>
        <w:snapToGrid w:val="0"/>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Support the enhancement with aggregation of DL or UL PRS resources within intra-band contiguous carriers in Rel-17.</w:t>
      </w:r>
    </w:p>
    <w:p>
      <w:pPr>
        <w:pStyle w:val="3"/>
        <w:snapToGrid w:val="0"/>
        <w:rPr>
          <w:sz w:val="24"/>
          <w:szCs w:val="24"/>
          <w:lang w:val="en-US"/>
        </w:rPr>
      </w:pPr>
      <w:r>
        <w:rPr>
          <w:rFonts w:hint="eastAsia"/>
          <w:sz w:val="24"/>
          <w:szCs w:val="24"/>
          <w:lang w:val="en-US"/>
        </w:rPr>
        <w:t>Aggregation of DL PRS resources</w:t>
      </w:r>
    </w:p>
    <w:p>
      <w:pPr>
        <w:snapToGrid w:val="0"/>
        <w:jc w:val="both"/>
        <w:rPr>
          <w:rFonts w:ascii="Times New Roman" w:hAnsi="Times New Roman"/>
          <w:sz w:val="20"/>
          <w:szCs w:val="20"/>
        </w:rPr>
      </w:pPr>
      <w:r>
        <w:rPr>
          <w:rFonts w:hint="eastAsia" w:ascii="Times New Roman" w:hAnsi="Times New Roman"/>
          <w:sz w:val="20"/>
          <w:szCs w:val="20"/>
        </w:rPr>
        <w:t>To aggregate multiple DL positioning frequency layers of the same band, the PRS resources from these multiple FLs should be transmitted simultaneously. To make UE measure PRS across multiple FLs, the following restriction for PRS configurations in different FLs should be considered.</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Considering configuration restriction for PRS across multiple positioning frequency layers as follows</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w:t>
      </w:r>
      <w:r>
        <w:rPr>
          <w:rFonts w:hint="eastAsia" w:ascii="Times New Roman" w:hAnsi="Times New Roman"/>
          <w:i/>
          <w:iCs/>
          <w:sz w:val="20"/>
          <w:szCs w:val="20"/>
        </w:rPr>
        <w:t>same subcarrier spacing (SCS)</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 xml:space="preserve">the same PRS configuration including the same comb factor, number of PRS symbols, the number of PRS resource within one PRS resource set, the number of PRS resource set </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the number of TRPs</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the QCL parameters, especially for QCL-TypeD for PRS resources being transmitted in the same time</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power control parameters for PRS resources being transmitted in the same time</w:t>
      </w:r>
    </w:p>
    <w:p>
      <w:pPr>
        <w:snapToGrid w:val="0"/>
        <w:jc w:val="both"/>
        <w:rPr>
          <w:rFonts w:ascii="Times New Roman" w:hAnsi="Times New Roman"/>
          <w:sz w:val="20"/>
          <w:szCs w:val="20"/>
        </w:rPr>
      </w:pPr>
    </w:p>
    <w:p>
      <w:pPr>
        <w:snapToGrid w:val="0"/>
        <w:jc w:val="both"/>
        <w:rPr>
          <w:rFonts w:ascii="Times New Roman" w:hAnsi="Times New Roman"/>
          <w:sz w:val="20"/>
          <w:szCs w:val="20"/>
        </w:rPr>
      </w:pPr>
      <w:r>
        <w:rPr>
          <w:rFonts w:hint="eastAsia" w:ascii="Times New Roman" w:hAnsi="Times New Roman"/>
          <w:sz w:val="20"/>
          <w:szCs w:val="20"/>
        </w:rPr>
        <w:t>In Rel-17, if PRS in multiple frequency layers are transmitted simultaneously, and UE receives the PRS across these frequency layers with an aggregated measurement, it is like that UE measures PRS in a virtually large positioning frequency layer. Thus, in a positioning measurement report, multiple positioning reference signals from different positioning frequency layers should be indicated for the same measurement.</w:t>
      </w:r>
    </w:p>
    <w:p>
      <w:pPr>
        <w:pStyle w:val="80"/>
        <w:snapToGrid w:val="0"/>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In a positioning measurement report, multiple positioning reference signals from different positioning frequency layers should be indicated for the same measurement.</w:t>
      </w:r>
    </w:p>
    <w:p>
      <w:pPr>
        <w:pStyle w:val="79"/>
        <w:snapToGrid w:val="0"/>
        <w:ind w:left="0" w:firstLine="0"/>
        <w:jc w:val="both"/>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t xml:space="preserve">In Rel-16, PRS in </w:t>
      </w:r>
      <w:r>
        <w:rPr>
          <w:rFonts w:hint="eastAsia" w:ascii="Times New Roman" w:hAnsi="Times New Roman"/>
          <w:sz w:val="20"/>
          <w:szCs w:val="20"/>
        </w:rPr>
        <w:t xml:space="preserve">multiple positioning frequency layers can only be processed in a TDMed way. Therefore, the UE processing capabilities are defined per positioning frequency layer. </w:t>
      </w:r>
      <w:r>
        <w:rPr>
          <w:rFonts w:hint="eastAsia" w:ascii="Times New Roman" w:hAnsi="Times New Roman"/>
          <w:color w:val="000000" w:themeColor="text1"/>
          <w:sz w:val="20"/>
          <w:szCs w:val="20"/>
          <w14:textFill>
            <w14:solidFill>
              <w14:schemeClr w14:val="tx1"/>
            </w14:solidFill>
          </w14:textFill>
        </w:rPr>
        <w:t xml:space="preserve">In Rel-17, </w:t>
      </w:r>
      <w:r>
        <w:rPr>
          <w:rFonts w:hint="eastAsia" w:ascii="Times New Roman" w:hAnsi="Times New Roman"/>
          <w:sz w:val="20"/>
          <w:szCs w:val="20"/>
        </w:rPr>
        <w:t xml:space="preserve">if PRS in multiple positioning frequency layers are transmitted simultaneously, and UE receives the PRS across these frequency layers with an aggregated measurement, so UE processing complexity will be higher than that for single layer. In such case, </w:t>
      </w:r>
      <w:bookmarkStart w:id="5" w:name="OLE_LINK2"/>
      <w:r>
        <w:rPr>
          <w:rFonts w:hint="eastAsia" w:ascii="Times New Roman" w:hAnsi="Times New Roman"/>
          <w:sz w:val="20"/>
          <w:szCs w:val="20"/>
        </w:rPr>
        <w:t>the UE processing capabilities should be extended to support the simultaneous reception of multiple positioning frequency layers.</w:t>
      </w:r>
    </w:p>
    <w:bookmarkEnd w:id="5"/>
    <w:p>
      <w:pPr>
        <w:snapToGrid w:val="0"/>
        <w:jc w:val="both"/>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The UE processing capabilities should be extended to support the simultaneous reception of multiple positioning frequency layers.</w:t>
      </w:r>
    </w:p>
    <w:p>
      <w:pPr>
        <w:pStyle w:val="3"/>
        <w:snapToGrid w:val="0"/>
        <w:rPr>
          <w:sz w:val="24"/>
          <w:szCs w:val="24"/>
          <w:lang w:val="en-US"/>
        </w:rPr>
      </w:pPr>
      <w:r>
        <w:rPr>
          <w:rFonts w:hint="eastAsia"/>
          <w:sz w:val="24"/>
          <w:szCs w:val="24"/>
          <w:lang w:val="en-US"/>
        </w:rPr>
        <w:t>Aggregation of UL PRS resources</w:t>
      </w:r>
    </w:p>
    <w:p>
      <w:pPr>
        <w:snapToGrid w:val="0"/>
        <w:jc w:val="both"/>
        <w:rPr>
          <w:rFonts w:ascii="Times New Roman" w:hAnsi="Times New Roman"/>
          <w:sz w:val="20"/>
          <w:szCs w:val="20"/>
        </w:rPr>
      </w:pPr>
      <w:r>
        <w:rPr>
          <w:rFonts w:hint="eastAsia" w:ascii="Times New Roman" w:hAnsi="Times New Roman"/>
          <w:sz w:val="20"/>
          <w:szCs w:val="20"/>
        </w:rPr>
        <w:t xml:space="preserve">For measurement based on UL aggregation, SRS should be simultaneously transmitted in multiple carriers for positioning. Like as DL PRS configuration, the restriction for SRS configuration in the aggregated carriers should also be introduced. The details can refer to section 2.1. </w:t>
      </w:r>
    </w:p>
    <w:p>
      <w:pPr>
        <w:snapToGrid w:val="0"/>
        <w:jc w:val="both"/>
        <w:rPr>
          <w:rFonts w:ascii="Times New Roman" w:hAnsi="Times New Roman"/>
          <w:sz w:val="20"/>
          <w:szCs w:val="20"/>
        </w:rPr>
      </w:pPr>
      <w:r>
        <w:rPr>
          <w:rFonts w:hint="eastAsia" w:ascii="Times New Roman" w:hAnsi="Times New Roman"/>
          <w:sz w:val="20"/>
          <w:szCs w:val="20"/>
        </w:rPr>
        <w:t xml:space="preserve">Since aperiodic and semi-persistent SRS for positioning are supported in Rel-16, so SRS simultaneously transmitted in multiple aggregated carriers can be considered in order to save signaling overhead and avoid unnecessary signaling restriction. For example, trigger/activate/deactivate SRS resource sets in multiple aggregated carriers by the same DCI or the same MAC CE. Otherwise, the network should transmit multiple DCI/MAC CE and ensure the triggered/activated SRS being transmitted in the same time. </w:t>
      </w:r>
    </w:p>
    <w:p>
      <w:pPr>
        <w:snapToGrid w:val="0"/>
        <w:jc w:val="both"/>
        <w:rPr>
          <w:rFonts w:ascii="Times New Roman" w:hAnsi="Times New Roman"/>
          <w:i/>
          <w:iCs/>
          <w:sz w:val="20"/>
          <w:szCs w:val="20"/>
        </w:rPr>
      </w:pPr>
      <w:r>
        <w:rPr>
          <w:rFonts w:hint="eastAsia" w:ascii="Times New Roman" w:hAnsi="Times New Roman"/>
          <w:b/>
          <w:bCs/>
          <w:i/>
          <w:iCs/>
          <w:sz w:val="20"/>
          <w:szCs w:val="20"/>
        </w:rPr>
        <w:t>Proposal 5:</w:t>
      </w:r>
      <w:r>
        <w:rPr>
          <w:rFonts w:hint="eastAsia" w:ascii="Times New Roman" w:hAnsi="Times New Roman"/>
          <w:sz w:val="20"/>
          <w:szCs w:val="20"/>
        </w:rPr>
        <w:t xml:space="preserve"> </w:t>
      </w:r>
      <w:r>
        <w:rPr>
          <w:rFonts w:hint="eastAsia" w:ascii="Times New Roman" w:hAnsi="Times New Roman"/>
          <w:i/>
          <w:iCs/>
          <w:sz w:val="20"/>
          <w:szCs w:val="20"/>
        </w:rPr>
        <w:t xml:space="preserve">For aggregation of SRS resources, considering one DCI/MAC CE to schedule SRS resource sets in all aggregated carriers. </w:t>
      </w:r>
    </w:p>
    <w:p>
      <w:pPr>
        <w:pStyle w:val="2"/>
        <w:ind w:left="0" w:firstLine="0"/>
        <w:rPr>
          <w:lang w:val="en-US"/>
        </w:rPr>
      </w:pPr>
      <w:r>
        <w:rPr>
          <w:rFonts w:hint="eastAsia"/>
          <w:lang w:val="en-US"/>
        </w:rPr>
        <w:t>Multipath/NLOS mitigation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wireless positioning systems,</w:t>
      </w:r>
      <w:r>
        <w:rPr>
          <w:rFonts w:ascii="Times New Roman" w:hAnsi="Times New Roman"/>
          <w:sz w:val="20"/>
          <w:szCs w:val="20"/>
        </w:rPr>
        <w:t xml:space="preserve"> </w:t>
      </w:r>
      <w:r>
        <w:rPr>
          <w:rFonts w:hint="eastAsia" w:ascii="Times New Roman" w:hAnsi="Times New Roman"/>
          <w:sz w:val="20"/>
          <w:szCs w:val="20"/>
        </w:rPr>
        <w:t xml:space="preserve">positioning techniques based on measurements of angles and timings (or distances), usually assume the communication links are LOS path. However, </w:t>
      </w:r>
      <w:r>
        <w:rPr>
          <w:rFonts w:ascii="Times New Roman" w:hAnsi="Times New Roman"/>
          <w:sz w:val="20"/>
          <w:szCs w:val="20"/>
        </w:rPr>
        <w:t>due to</w:t>
      </w:r>
      <w:r>
        <w:rPr>
          <w:rFonts w:hint="eastAsia" w:ascii="Times New Roman" w:hAnsi="Times New Roman"/>
          <w:sz w:val="20"/>
          <w:szCs w:val="20"/>
        </w:rPr>
        <w:t xml:space="preserve"> multi-path signal propagation</w:t>
      </w:r>
      <w:r>
        <w:rPr>
          <w:rFonts w:ascii="Times New Roman" w:hAnsi="Times New Roman"/>
          <w:sz w:val="20"/>
          <w:szCs w:val="20"/>
        </w:rPr>
        <w:t xml:space="preserve"> in wireless channel,</w:t>
      </w:r>
      <w:r>
        <w:rPr>
          <w:rFonts w:hint="eastAsia" w:ascii="Times New Roman" w:hAnsi="Times New Roman"/>
          <w:sz w:val="20"/>
          <w:szCs w:val="20"/>
        </w:rPr>
        <w:t xml:space="preserve"> </w:t>
      </w:r>
      <w:r>
        <w:rPr>
          <w:rFonts w:ascii="Times New Roman" w:hAnsi="Times New Roman"/>
          <w:sz w:val="20"/>
          <w:szCs w:val="20"/>
        </w:rPr>
        <w:t>r</w:t>
      </w:r>
      <w:r>
        <w:rPr>
          <w:rFonts w:hint="eastAsia" w:ascii="Times New Roman" w:hAnsi="Times New Roman"/>
          <w:sz w:val="20"/>
          <w:szCs w:val="20"/>
        </w:rPr>
        <w:t xml:space="preserve">adio signals usually reflect off various obstacles/reflectors without LOS path leading to non-line-of-sight (NLOS) communication links. Because of these phenomena, signal measurements associated with NLOS communication links do not correspond to actual distances and actual angles, which can </w:t>
      </w:r>
      <w:r>
        <w:rPr>
          <w:rFonts w:ascii="Times New Roman" w:hAnsi="Times New Roman"/>
          <w:sz w:val="20"/>
          <w:szCs w:val="20"/>
        </w:rPr>
        <w:t>significantly</w:t>
      </w:r>
      <w:r>
        <w:rPr>
          <w:rFonts w:hint="eastAsia" w:ascii="Times New Roman" w:hAnsi="Times New Roman"/>
          <w:sz w:val="20"/>
          <w:szCs w:val="20"/>
        </w:rPr>
        <w:t xml:space="preserve"> degrade positioning accuracy. During the study item phase, the following observations are concluded [1],</w:t>
      </w:r>
    </w:p>
    <w:p>
      <w:pPr>
        <w:numPr>
          <w:ilvl w:val="0"/>
          <w:numId w:val="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NR positioning utilizing LOS/NLOS identification, outlier rejection, NLOS mitigation based on triangle inequality algorithms improve performance of positioning accuracy with respect to solutions that do not apply these techniques</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Some companies observed that NR positioning based on LOS/NLOS identification outperforms NR positioning utilizing outlier rejection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Coherence bandwidth is a statistical measurement of the frequency range over which the communication link or channel can be considered flat, and is a metric used to define the impact of frequency selective fading. Small coherence bandwidth </w:t>
      </w:r>
      <w:r>
        <w:rPr>
          <w:rFonts w:hint="eastAsia" w:ascii="Times New Roman" w:hAnsi="Times New Roman"/>
          <w:sz w:val="20"/>
          <w:szCs w:val="20"/>
        </w:rPr>
        <w:t>leads to</w:t>
      </w:r>
      <w:r>
        <w:rPr>
          <w:rFonts w:ascii="Times New Roman" w:hAnsi="Times New Roman"/>
          <w:sz w:val="20"/>
          <w:szCs w:val="20"/>
        </w:rPr>
        <w:t xml:space="preserve"> strong frequency selective fading. </w:t>
      </w:r>
      <w:r>
        <w:rPr>
          <w:rFonts w:hint="eastAsia" w:ascii="Times New Roman" w:hAnsi="Times New Roman"/>
          <w:sz w:val="20"/>
          <w:szCs w:val="20"/>
        </w:rPr>
        <w:t xml:space="preserve">In most of scenarios, the LOS component will dominate over other remaining paths because of small path loss experienced, which results in small </w:t>
      </w:r>
      <w:r>
        <w:rPr>
          <w:rFonts w:ascii="Times New Roman" w:hAnsi="Times New Roman"/>
          <w:sz w:val="20"/>
          <w:szCs w:val="20"/>
        </w:rPr>
        <w:t>frequency selective fading</w:t>
      </w:r>
      <w:r>
        <w:rPr>
          <w:rFonts w:hint="eastAsia" w:ascii="Times New Roman" w:hAnsi="Times New Roman"/>
          <w:sz w:val="20"/>
          <w:szCs w:val="20"/>
        </w:rPr>
        <w:t xml:space="preserve"> problem, in other words, corresponds to large coherence bandwidth. As a consequence, coherence bandwidth would be helpful assistance information for classification of LOS &amp; NLOS communication links. The coherence bandwidth is defined by,</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position w:val="-58"/>
          <w:sz w:val="20"/>
          <w:szCs w:val="20"/>
        </w:rPr>
        <w:object>
          <v:shape id="_x0000_i1025" o:spt="75" type="#_x0000_t75" style="height:57.55pt;width:283.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Where</w:t>
      </w:r>
      <w:r>
        <w:rPr>
          <w:rFonts w:hint="eastAsia" w:ascii="Times New Roman" w:hAnsi="Times New Roman"/>
          <w:position w:val="-10"/>
          <w:sz w:val="20"/>
          <w:szCs w:val="20"/>
        </w:rPr>
        <w:object>
          <v:shape id="_x0000_i1026" o:spt="75" type="#_x0000_t75" style="height:15.9pt;width:50.1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sz w:val="20"/>
          <w:szCs w:val="20"/>
        </w:rPr>
        <w:t>is an auto-correlation function of</w:t>
      </w:r>
      <w:r>
        <w:rPr>
          <w:rFonts w:ascii="Times New Roman" w:hAnsi="Times New Roman"/>
          <w:sz w:val="20"/>
          <w:szCs w:val="20"/>
        </w:rPr>
        <w:t xml:space="preserve"> the</w:t>
      </w:r>
      <w:r>
        <w:rPr>
          <w:rFonts w:hint="eastAsia" w:ascii="Times New Roman" w:hAnsi="Times New Roman"/>
          <w:sz w:val="20"/>
          <w:szCs w:val="20"/>
        </w:rPr>
        <w:t xml:space="preserve"> frequency response in time instant t. TH is a correlation threshold, where the value is usually given by 0.5 or 0.9.</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comparison with outlier rejection and NLOS mitigation methods, we use following steps in evaluation:</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1: For each combination, select P (e.g. P=4) gNBs out of Q gNBs, so that the total number of combination is N (i.e. </w:t>
      </w:r>
      <w:r>
        <w:rPr>
          <w:rFonts w:hint="eastAsia" w:ascii="Times New Roman" w:hAnsi="Times New Roman"/>
          <w:position w:val="-30"/>
          <w:sz w:val="20"/>
          <w:szCs w:val="20"/>
        </w:rPr>
        <w:object>
          <v:shape id="_x0000_i1027" o:spt="75" type="#_x0000_t75" style="height:36pt;width:2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sz w:val="20"/>
          <w:szCs w:val="20"/>
        </w:rPr>
        <w:t xml:space="preserve">). </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2: </w:t>
      </w:r>
      <w:bookmarkStart w:id="6" w:name="OLE_LINK1"/>
      <w:r>
        <w:rPr>
          <w:rFonts w:hint="eastAsia" w:ascii="Times New Roman" w:hAnsi="Times New Roman"/>
          <w:sz w:val="20"/>
          <w:szCs w:val="20"/>
        </w:rPr>
        <w:t xml:space="preserve">Conduct positioning computation (e.g. Gauss-Netwon algorithm) </w:t>
      </w:r>
      <w:bookmarkEnd w:id="6"/>
      <w:r>
        <w:rPr>
          <w:rFonts w:hint="eastAsia" w:ascii="Times New Roman" w:hAnsi="Times New Roman"/>
          <w:sz w:val="20"/>
          <w:szCs w:val="20"/>
        </w:rPr>
        <w:t>for each combination based on the measurements (e.g. DL-TDOA), so we get N possible UE locations.</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3: Get M clusters of UE</w:t>
      </w:r>
      <w:r>
        <w:rPr>
          <w:rFonts w:ascii="Times New Roman" w:hAnsi="Times New Roman"/>
          <w:sz w:val="20"/>
          <w:szCs w:val="20"/>
        </w:rPr>
        <w:t>’</w:t>
      </w:r>
      <w:r>
        <w:rPr>
          <w:rFonts w:hint="eastAsia" w:ascii="Times New Roman" w:hAnsi="Times New Roman"/>
          <w:sz w:val="20"/>
          <w:szCs w:val="20"/>
        </w:rPr>
        <w:t>s possible locations based on DBSCAN (Density-Based Spatial Clustering of Applications with Noise ) algorithm [3].</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4: Select one cluster out of M clusters with minimum metric, where the metric of i</w:t>
      </w:r>
      <w:r>
        <w:rPr>
          <w:rFonts w:hint="eastAsia" w:ascii="Times New Roman" w:hAnsi="Times New Roman"/>
          <w:sz w:val="20"/>
          <w:szCs w:val="20"/>
          <w:vertAlign w:val="superscript"/>
        </w:rPr>
        <w:t xml:space="preserve">th </w:t>
      </w:r>
      <w:r>
        <w:rPr>
          <w:rFonts w:hint="eastAsia" w:ascii="Times New Roman" w:hAnsi="Times New Roman"/>
          <w:sz w:val="20"/>
          <w:szCs w:val="20"/>
        </w:rPr>
        <w:t>(i=1,2,...,M) cluster is defined as following,</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position w:val="-30"/>
          <w:sz w:val="20"/>
          <w:szCs w:val="20"/>
        </w:rPr>
        <w:object>
          <v:shape id="_x0000_i1028" o:spt="75" type="#_x0000_t75" style="height:36pt;width:188.1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Where </w:t>
      </w:r>
      <w:r>
        <w:rPr>
          <w:rFonts w:hint="eastAsia" w:ascii="Times New Roman" w:hAnsi="Times New Roman"/>
          <w:position w:val="-12"/>
          <w:sz w:val="20"/>
          <w:szCs w:val="20"/>
        </w:rPr>
        <w:object>
          <v:shape id="_x0000_i1029" o:spt="75" type="#_x0000_t75" style="height:18pt;width:16.9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Times New Roman" w:hAnsi="Times New Roman"/>
          <w:sz w:val="20"/>
          <w:szCs w:val="20"/>
        </w:rPr>
        <w:t>is the number of combinations in i</w:t>
      </w:r>
      <w:r>
        <w:rPr>
          <w:rFonts w:hint="eastAsia" w:ascii="Times New Roman" w:hAnsi="Times New Roman"/>
          <w:sz w:val="20"/>
          <w:szCs w:val="20"/>
          <w:vertAlign w:val="superscript"/>
        </w:rPr>
        <w:t>th</w:t>
      </w:r>
      <w:r>
        <w:rPr>
          <w:rFonts w:hint="eastAsia" w:ascii="Times New Roman" w:hAnsi="Times New Roman"/>
          <w:sz w:val="20"/>
          <w:szCs w:val="20"/>
        </w:rPr>
        <w:t xml:space="preserve"> cluster. </w:t>
      </w:r>
      <w:r>
        <w:rPr>
          <w:rFonts w:hint="eastAsia" w:ascii="Times New Roman" w:hAnsi="Times New Roman"/>
          <w:position w:val="-14"/>
          <w:sz w:val="20"/>
          <w:szCs w:val="20"/>
        </w:rPr>
        <w:object>
          <v:shape id="_x0000_i1030" o:spt="75" type="#_x0000_t75" style="height:19.05pt;width:45.2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Times New Roman" w:hAnsi="Times New Roman"/>
          <w:sz w:val="20"/>
          <w:szCs w:val="20"/>
        </w:rPr>
        <w:t>is a estimated result (e.g. TDOA value based on the location estimation of the corresponding combination) of j</w:t>
      </w:r>
      <w:r>
        <w:rPr>
          <w:rFonts w:hint="eastAsia" w:ascii="Times New Roman" w:hAnsi="Times New Roman"/>
          <w:sz w:val="20"/>
          <w:szCs w:val="20"/>
          <w:vertAlign w:val="superscript"/>
        </w:rPr>
        <w:t>th</w:t>
      </w:r>
      <w:r>
        <w:rPr>
          <w:rFonts w:hint="eastAsia" w:ascii="Times New Roman" w:hAnsi="Times New Roman"/>
          <w:sz w:val="20"/>
          <w:szCs w:val="20"/>
        </w:rPr>
        <w:t xml:space="preserve"> combination in i</w:t>
      </w:r>
      <w:r>
        <w:rPr>
          <w:rFonts w:hint="eastAsia" w:ascii="Times New Roman" w:hAnsi="Times New Roman"/>
          <w:sz w:val="20"/>
          <w:szCs w:val="20"/>
          <w:vertAlign w:val="superscript"/>
        </w:rPr>
        <w:t>th</w:t>
      </w:r>
      <w:r>
        <w:rPr>
          <w:rFonts w:hint="eastAsia" w:ascii="Times New Roman" w:hAnsi="Times New Roman"/>
          <w:sz w:val="20"/>
          <w:szCs w:val="20"/>
        </w:rPr>
        <w:t xml:space="preserve"> cluster. </w:t>
      </w:r>
      <w:r>
        <w:rPr>
          <w:rFonts w:hint="eastAsia" w:ascii="Times New Roman" w:hAnsi="Times New Roman"/>
          <w:position w:val="-14"/>
          <w:sz w:val="20"/>
          <w:szCs w:val="20"/>
        </w:rPr>
        <w:object>
          <v:shape id="_x0000_i1031" o:spt="75" type="#_x0000_t75" style="height:19.05pt;width:44.1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Times New Roman" w:hAnsi="Times New Roman"/>
          <w:sz w:val="20"/>
          <w:szCs w:val="20"/>
        </w:rPr>
        <w:t>is a measured result (e.g. TDOA value based on the measurement feedback of the corresponding combination) of j</w:t>
      </w:r>
      <w:r>
        <w:rPr>
          <w:rFonts w:hint="eastAsia" w:ascii="Times New Roman" w:hAnsi="Times New Roman"/>
          <w:sz w:val="20"/>
          <w:szCs w:val="20"/>
          <w:vertAlign w:val="superscript"/>
        </w:rPr>
        <w:t>th</w:t>
      </w:r>
      <w:r>
        <w:rPr>
          <w:rFonts w:hint="eastAsia" w:ascii="Times New Roman" w:hAnsi="Times New Roman"/>
          <w:sz w:val="20"/>
          <w:szCs w:val="20"/>
        </w:rPr>
        <w:t xml:space="preserve"> combination in i</w:t>
      </w:r>
      <w:r>
        <w:rPr>
          <w:rFonts w:hint="eastAsia" w:ascii="Times New Roman" w:hAnsi="Times New Roman"/>
          <w:sz w:val="20"/>
          <w:szCs w:val="20"/>
          <w:vertAlign w:val="superscript"/>
        </w:rPr>
        <w:t>th</w:t>
      </w:r>
      <w:r>
        <w:rPr>
          <w:rFonts w:hint="eastAsia" w:ascii="Times New Roman" w:hAnsi="Times New Roman"/>
          <w:sz w:val="20"/>
          <w:szCs w:val="20"/>
        </w:rPr>
        <w:t xml:space="preserve"> cluster. </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5: Skip this step if NLOS mitigation scheme is not supported. NLOS mitigation scheme provides additional metric to select the best cluster. For example, according to the metric defined as following, we can choose a cluster with largest average coherence bandwidth, </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position w:val="-30"/>
          <w:sz w:val="20"/>
          <w:szCs w:val="20"/>
        </w:rPr>
        <w:object>
          <v:shape id="_x0000_i1032" o:spt="75" type="#_x0000_t75" style="height:36pt;width:154.9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Where </w:t>
      </w:r>
      <w:r>
        <w:rPr>
          <w:rFonts w:hint="eastAsia" w:ascii="Times New Roman" w:hAnsi="Times New Roman"/>
          <w:position w:val="-14"/>
          <w:sz w:val="20"/>
          <w:szCs w:val="20"/>
        </w:rPr>
        <w:object>
          <v:shape id="_x0000_i1033" o:spt="75" type="#_x0000_t75" style="height:19.05pt;width:33.9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Times New Roman" w:hAnsi="Times New Roman"/>
          <w:sz w:val="20"/>
          <w:szCs w:val="20"/>
        </w:rPr>
        <w:t>is the coherence bandwidth of a link between one gNB (the k</w:t>
      </w:r>
      <w:r>
        <w:rPr>
          <w:rFonts w:hint="eastAsia" w:ascii="Times New Roman" w:hAnsi="Times New Roman"/>
          <w:sz w:val="20"/>
          <w:szCs w:val="20"/>
          <w:vertAlign w:val="superscript"/>
        </w:rPr>
        <w:t>th</w:t>
      </w:r>
      <w:r>
        <w:rPr>
          <w:rFonts w:hint="eastAsia" w:ascii="Times New Roman" w:hAnsi="Times New Roman"/>
          <w:sz w:val="20"/>
          <w:szCs w:val="20"/>
        </w:rPr>
        <w:t xml:space="preserve"> gNB in j</w:t>
      </w:r>
      <w:r>
        <w:rPr>
          <w:rFonts w:hint="eastAsia" w:ascii="Times New Roman" w:hAnsi="Times New Roman"/>
          <w:sz w:val="20"/>
          <w:szCs w:val="20"/>
          <w:vertAlign w:val="superscript"/>
        </w:rPr>
        <w:t>th</w:t>
      </w:r>
      <w:r>
        <w:rPr>
          <w:rFonts w:hint="eastAsia" w:ascii="Times New Roman" w:hAnsi="Times New Roman"/>
          <w:sz w:val="20"/>
          <w:szCs w:val="20"/>
        </w:rPr>
        <w:t xml:space="preserve"> combination of i</w:t>
      </w:r>
      <w:r>
        <w:rPr>
          <w:rFonts w:hint="eastAsia" w:ascii="Times New Roman" w:hAnsi="Times New Roman"/>
          <w:sz w:val="20"/>
          <w:szCs w:val="20"/>
          <w:vertAlign w:val="superscript"/>
        </w:rPr>
        <w:t>th</w:t>
      </w:r>
      <w:r>
        <w:rPr>
          <w:rFonts w:hint="eastAsia" w:ascii="Times New Roman" w:hAnsi="Times New Roman"/>
          <w:sz w:val="20"/>
          <w:szCs w:val="20"/>
        </w:rPr>
        <w:t xml:space="preserve"> cluster) and the UE.</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6: According to the selected cluster, find LOS links with high confidence level. </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7: Conduct positioning computation again based on identified LOS links and finally get UE</w:t>
      </w:r>
      <w:r>
        <w:rPr>
          <w:rFonts w:ascii="Times New Roman" w:hAnsi="Times New Roman"/>
          <w:sz w:val="20"/>
          <w:szCs w:val="20"/>
        </w:rPr>
        <w:t>’</w:t>
      </w:r>
      <w:r>
        <w:rPr>
          <w:rFonts w:hint="eastAsia" w:ascii="Times New Roman" w:hAnsi="Times New Roman"/>
          <w:sz w:val="20"/>
          <w:szCs w:val="20"/>
        </w:rPr>
        <w:t>s location.</w:t>
      </w:r>
    </w:p>
    <w:p>
      <w:pPr>
        <w:snapToGrid w:val="0"/>
        <w:spacing w:before="180" w:beforeLines="50" w:after="180" w:afterLines="50" w:line="240" w:lineRule="auto"/>
        <w:jc w:val="center"/>
      </w:pPr>
      <w:r>
        <w:drawing>
          <wp:inline distT="0" distB="0" distL="114300" distR="114300">
            <wp:extent cx="3757930" cy="2294890"/>
            <wp:effectExtent l="0" t="0" r="139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3757930" cy="2294890"/>
                    </a:xfrm>
                    <a:prstGeom prst="rect">
                      <a:avLst/>
                    </a:prstGeom>
                    <a:noFill/>
                    <a:ln>
                      <a:noFill/>
                    </a:ln>
                  </pic:spPr>
                </pic:pic>
              </a:graphicData>
            </a:graphic>
          </wp:inline>
        </w:drawing>
      </w:r>
    </w:p>
    <w:p>
      <w:pPr>
        <w:snapToGrid w:val="0"/>
        <w:spacing w:before="180" w:beforeLines="50" w:after="180" w:afterLines="50" w:line="240" w:lineRule="auto"/>
        <w:jc w:val="center"/>
      </w:pPr>
      <w:r>
        <w:rPr>
          <w:rFonts w:hint="eastAsia" w:ascii="Times New Roman" w:hAnsi="Times New Roman"/>
          <w:sz w:val="20"/>
          <w:szCs w:val="20"/>
        </w:rPr>
        <w:t>FIG.1  CDF of positioning error for different positioning schemes</w:t>
      </w:r>
    </w:p>
    <w:tbl>
      <w:tblPr>
        <w:tblStyle w:val="24"/>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7"/>
        <w:gridCol w:w="1162"/>
        <w:gridCol w:w="1162"/>
        <w:gridCol w:w="1163"/>
        <w:gridCol w:w="1162"/>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after="0"/>
              <w:jc w:val="center"/>
              <w:rPr>
                <w:rFonts w:ascii="Times New Roman" w:hAnsi="Times New Roman"/>
                <w:sz w:val="20"/>
                <w:szCs w:val="20"/>
                <w:lang w:val="en-GB"/>
              </w:rPr>
            </w:pPr>
            <w:r>
              <w:rPr>
                <w:rFonts w:ascii="Times New Roman" w:hAnsi="Times New Roman"/>
                <w:sz w:val="20"/>
                <w:szCs w:val="20"/>
                <w:lang w:val="en-GB"/>
              </w:rPr>
              <w:t>Case</w:t>
            </w:r>
          </w:p>
        </w:tc>
        <w:tc>
          <w:tcPr>
            <w:tcW w:w="1162" w:type="dxa"/>
            <w:vAlign w:val="center"/>
          </w:tcPr>
          <w:p>
            <w:pPr>
              <w:widowControl w:val="0"/>
              <w:spacing w:after="0"/>
              <w:jc w:val="center"/>
              <w:rPr>
                <w:rFonts w:ascii="Times New Roman" w:hAnsi="Times New Roman"/>
                <w:sz w:val="20"/>
                <w:szCs w:val="20"/>
                <w:lang w:val="en-GB"/>
              </w:rPr>
            </w:pPr>
            <w:r>
              <w:rPr>
                <w:rFonts w:ascii="Times New Roman" w:hAnsi="Times New Roman"/>
                <w:sz w:val="20"/>
                <w:szCs w:val="20"/>
                <w:lang w:val="en-GB"/>
              </w:rPr>
              <w:t>50%</w:t>
            </w:r>
          </w:p>
        </w:tc>
        <w:tc>
          <w:tcPr>
            <w:tcW w:w="1162" w:type="dxa"/>
            <w:vAlign w:val="center"/>
          </w:tcPr>
          <w:p>
            <w:pPr>
              <w:widowControl w:val="0"/>
              <w:spacing w:after="0"/>
              <w:jc w:val="center"/>
              <w:rPr>
                <w:rFonts w:ascii="Times New Roman" w:hAnsi="Times New Roman"/>
                <w:sz w:val="20"/>
                <w:szCs w:val="20"/>
                <w:lang w:val="en-GB"/>
              </w:rPr>
            </w:pPr>
            <w:r>
              <w:rPr>
                <w:rFonts w:ascii="Times New Roman" w:hAnsi="Times New Roman"/>
                <w:sz w:val="20"/>
                <w:szCs w:val="20"/>
                <w:lang w:val="en-GB"/>
              </w:rPr>
              <w:t>67%</w:t>
            </w:r>
          </w:p>
        </w:tc>
        <w:tc>
          <w:tcPr>
            <w:tcW w:w="1163" w:type="dxa"/>
            <w:vAlign w:val="center"/>
          </w:tcPr>
          <w:p>
            <w:pPr>
              <w:widowControl w:val="0"/>
              <w:spacing w:after="0"/>
              <w:jc w:val="center"/>
              <w:rPr>
                <w:rFonts w:ascii="Times New Roman" w:hAnsi="Times New Roman"/>
                <w:sz w:val="20"/>
                <w:szCs w:val="20"/>
                <w:lang w:val="en-GB"/>
              </w:rPr>
            </w:pPr>
            <w:r>
              <w:rPr>
                <w:rFonts w:ascii="Times New Roman" w:hAnsi="Times New Roman"/>
                <w:sz w:val="20"/>
                <w:szCs w:val="20"/>
                <w:lang w:val="en-GB"/>
              </w:rPr>
              <w:t>80%</w:t>
            </w:r>
          </w:p>
        </w:tc>
        <w:tc>
          <w:tcPr>
            <w:tcW w:w="1162" w:type="dxa"/>
            <w:vAlign w:val="center"/>
          </w:tcPr>
          <w:p>
            <w:pPr>
              <w:widowControl w:val="0"/>
              <w:spacing w:after="0"/>
              <w:jc w:val="center"/>
              <w:rPr>
                <w:rFonts w:ascii="Times New Roman" w:hAnsi="Times New Roman"/>
                <w:sz w:val="20"/>
                <w:szCs w:val="20"/>
                <w:lang w:val="en-GB"/>
              </w:rPr>
            </w:pPr>
            <w:r>
              <w:rPr>
                <w:rFonts w:ascii="Times New Roman" w:hAnsi="Times New Roman"/>
                <w:sz w:val="20"/>
                <w:szCs w:val="20"/>
                <w:lang w:val="en-GB"/>
              </w:rPr>
              <w:t>90%</w:t>
            </w:r>
          </w:p>
        </w:tc>
        <w:tc>
          <w:tcPr>
            <w:tcW w:w="1163" w:type="dxa"/>
            <w:vAlign w:val="center"/>
          </w:tcPr>
          <w:p>
            <w:pPr>
              <w:widowControl w:val="0"/>
              <w:spacing w:after="0"/>
              <w:jc w:val="center"/>
              <w:rPr>
                <w:rFonts w:ascii="Times New Roman" w:hAnsi="Times New Roman"/>
                <w:sz w:val="20"/>
                <w:szCs w:val="20"/>
                <w:lang w:val="en-GB"/>
              </w:rPr>
            </w:pPr>
            <w:r>
              <w:rPr>
                <w:rFonts w:ascii="Times New Roman" w:hAnsi="Times New Roman"/>
                <w:sz w:val="20"/>
                <w:szCs w:val="20"/>
                <w:lang w:val="en-GB"/>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InF-DH,FR1, with ideal LOS identification, DBSCAN algorithm</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0.262</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0.378</w:t>
            </w:r>
          </w:p>
        </w:tc>
        <w:tc>
          <w:tcPr>
            <w:tcW w:w="1163"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0.484</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0.642</w:t>
            </w:r>
          </w:p>
        </w:tc>
        <w:tc>
          <w:tcPr>
            <w:tcW w:w="1163"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InF-DH,FR1, without additional information for LOS identification, DBSCAN algorithm</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0.307</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0.452</w:t>
            </w:r>
          </w:p>
        </w:tc>
        <w:tc>
          <w:tcPr>
            <w:tcW w:w="1163"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0.678</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18.858</w:t>
            </w:r>
          </w:p>
        </w:tc>
        <w:tc>
          <w:tcPr>
            <w:tcW w:w="1163"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34.530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InF-DH,FR1, with coherence bandwidth for LOS identification, DBSCAN algorithm</w:t>
            </w:r>
          </w:p>
        </w:tc>
        <w:tc>
          <w:tcPr>
            <w:tcW w:w="1162" w:type="dxa"/>
            <w:vAlign w:val="center"/>
          </w:tcPr>
          <w:p>
            <w:pPr>
              <w:widowControl w:val="0"/>
              <w:spacing w:after="0"/>
              <w:jc w:val="center"/>
              <w:rPr>
                <w:rFonts w:ascii="Times New Roman" w:hAnsi="Times New Roman"/>
                <w:sz w:val="20"/>
                <w:szCs w:val="20"/>
                <w:lang w:val="en-GB"/>
              </w:rPr>
            </w:pPr>
            <w:r>
              <w:rPr>
                <w:rFonts w:hint="eastAsia" w:ascii="Times New Roman" w:hAnsi="Times New Roman"/>
                <w:sz w:val="20"/>
                <w:szCs w:val="20"/>
              </w:rPr>
              <w:t>0.286</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0.343</w:t>
            </w:r>
          </w:p>
        </w:tc>
        <w:tc>
          <w:tcPr>
            <w:tcW w:w="1163"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0.512</w:t>
            </w:r>
          </w:p>
        </w:tc>
        <w:tc>
          <w:tcPr>
            <w:tcW w:w="1162"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0.898</w:t>
            </w:r>
          </w:p>
        </w:tc>
        <w:tc>
          <w:tcPr>
            <w:tcW w:w="1163" w:type="dxa"/>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17.715</w:t>
            </w:r>
          </w:p>
        </w:tc>
      </w:tr>
    </w:tbl>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1 Positioning error at some percentiles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can be observed from FIG.1, when positioning is done without additional information, the positioning performance degrades rapidly for UEs connected with inadequate LOS communication links. Table 1 shows that sub-meter level requirement at 90% UEs is not satisfied when only outlier rejection scheme is conducted. Then, if ideal classification of LOS and NLOS link is assumed, as can be seen from the figure, positioning accuracy is obviously improved. The yellow line is CDF curve of positioning error by using coherence bandwidth as additional information, where sub-meter level requirement at 90% UEs is met. In a word, coherence bandwidth is a good metric to assist determination of LOS &amp; NLOS communication links.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xml:space="preserve"> Based on the discussions and evaluations above, we can observe</w:t>
      </w:r>
    </w:p>
    <w:p>
      <w:pPr>
        <w:numPr>
          <w:ilvl w:val="0"/>
          <w:numId w:val="7"/>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If ideal LOS identification is assumed, sub-meter level requirement at 90% UEs can be met.</w:t>
      </w:r>
    </w:p>
    <w:p>
      <w:pPr>
        <w:numPr>
          <w:ilvl w:val="0"/>
          <w:numId w:val="7"/>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Outlier rejection based scheme can</w:t>
      </w:r>
      <w:r>
        <w:rPr>
          <w:rFonts w:ascii="Times New Roman" w:hAnsi="Times New Roman"/>
          <w:i/>
          <w:iCs/>
          <w:sz w:val="20"/>
          <w:szCs w:val="20"/>
        </w:rPr>
        <w:t>’</w:t>
      </w:r>
      <w:r>
        <w:rPr>
          <w:rFonts w:hint="eastAsia" w:ascii="Times New Roman" w:hAnsi="Times New Roman"/>
          <w:i/>
          <w:iCs/>
          <w:sz w:val="20"/>
          <w:szCs w:val="20"/>
        </w:rPr>
        <w:t>t satisfy the stringent requirement in Rel-17.</w:t>
      </w:r>
    </w:p>
    <w:p>
      <w:pPr>
        <w:numPr>
          <w:ilvl w:val="0"/>
          <w:numId w:val="7"/>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C</w:t>
      </w:r>
      <w:r>
        <w:rPr>
          <w:rFonts w:ascii="Times New Roman" w:hAnsi="Times New Roman"/>
          <w:i/>
          <w:iCs/>
          <w:sz w:val="20"/>
          <w:szCs w:val="20"/>
        </w:rPr>
        <w:t>oherence bandwidth is a good metric to assist determination of LOS &amp; NLOS communication links</w:t>
      </w:r>
      <w:r>
        <w:rPr>
          <w:rFonts w:hint="eastAsia" w:ascii="Times New Roman" w:hAnsi="Times New Roman"/>
          <w:i/>
          <w:iCs/>
          <w:sz w:val="20"/>
          <w:szCs w:val="20"/>
        </w:rPr>
        <w: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hint="eastAsia" w:ascii="Times New Roman" w:hAnsi="Times New Roman"/>
          <w:i/>
          <w:iCs/>
          <w:sz w:val="20"/>
          <w:szCs w:val="20"/>
        </w:rPr>
        <w:t>: Enhancements of information reporting from UE and gNB for supporting multipath/NLOS mitigation should be in the WI scope of Rel-17 NR positioning.</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we analyze the potential spec impact for aggregation of DL and UL PRS resources related enhancement. Further, we provide our views on the enhancement for multipath/NLOS mitigation. The following proposals and observations are proposed,</w:t>
      </w:r>
    </w:p>
    <w:p>
      <w:pPr>
        <w:snapToGrid w:val="0"/>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Support the enhancement with aggregation of DL or UL PRS resources within intra-band contiguous carriers in Rel-17.</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Considering configuration restriction for PRS across multiple positioning frequency layers as follows</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t</w:t>
      </w:r>
      <w:r>
        <w:rPr>
          <w:rFonts w:ascii="Times New Roman" w:hAnsi="Times New Roman"/>
          <w:i/>
          <w:iCs/>
          <w:sz w:val="20"/>
          <w:szCs w:val="20"/>
        </w:rPr>
        <w:t xml:space="preserve">he </w:t>
      </w:r>
      <w:r>
        <w:rPr>
          <w:rFonts w:hint="eastAsia" w:ascii="Times New Roman" w:hAnsi="Times New Roman"/>
          <w:i/>
          <w:iCs/>
          <w:sz w:val="20"/>
          <w:szCs w:val="20"/>
        </w:rPr>
        <w:t>same subcarrier spacing (SCS)</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 xml:space="preserve">the same PRS configuration including the same comb factor, number of PRS symbols, the number of PRS resource within one PRS resource set, the number of PRS resource set </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the number of TRPs</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the QCL parameters, especially for QCL-TypeD for PRS resources being transmitted in the same time</w:t>
      </w:r>
    </w:p>
    <w:p>
      <w:pPr>
        <w:numPr>
          <w:ilvl w:val="0"/>
          <w:numId w:val="3"/>
        </w:numPr>
        <w:snapToGrid w:val="0"/>
        <w:spacing w:after="0" w:line="240" w:lineRule="auto"/>
        <w:ind w:left="578" w:hanging="284"/>
        <w:jc w:val="both"/>
        <w:rPr>
          <w:rFonts w:ascii="Times New Roman" w:hAnsi="Times New Roman"/>
          <w:i/>
          <w:iCs/>
          <w:sz w:val="20"/>
          <w:szCs w:val="20"/>
        </w:rPr>
      </w:pPr>
      <w:r>
        <w:rPr>
          <w:rFonts w:hint="eastAsia" w:ascii="Times New Roman" w:hAnsi="Times New Roman"/>
          <w:i/>
          <w:iCs/>
          <w:sz w:val="20"/>
          <w:szCs w:val="20"/>
        </w:rPr>
        <w:t>power control parameters for PRS resources being transmitted in the same time</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In a positioning measurement report, multiple positioning reference signals from different positioning frequency layers should be indicated for the same measurement.</w:t>
      </w:r>
    </w:p>
    <w:p>
      <w:pPr>
        <w:snapToGrid w:val="0"/>
        <w:jc w:val="both"/>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The UE processing capabilities should be extended to support the simultaneous reception of multiple positioning frequency layers.</w:t>
      </w:r>
    </w:p>
    <w:p>
      <w:pPr>
        <w:snapToGrid w:val="0"/>
        <w:jc w:val="both"/>
        <w:rPr>
          <w:rFonts w:ascii="Times New Roman" w:hAnsi="Times New Roman"/>
          <w:i/>
          <w:iCs/>
          <w:sz w:val="20"/>
          <w:szCs w:val="20"/>
        </w:rPr>
      </w:pPr>
      <w:r>
        <w:rPr>
          <w:rFonts w:hint="eastAsia" w:ascii="Times New Roman" w:hAnsi="Times New Roman"/>
          <w:b/>
          <w:bCs/>
          <w:i/>
          <w:iCs/>
          <w:sz w:val="20"/>
          <w:szCs w:val="20"/>
        </w:rPr>
        <w:t>Proposal 5:</w:t>
      </w:r>
      <w:r>
        <w:rPr>
          <w:rFonts w:hint="eastAsia" w:ascii="Times New Roman" w:hAnsi="Times New Roman"/>
          <w:sz w:val="20"/>
          <w:szCs w:val="20"/>
        </w:rPr>
        <w:t xml:space="preserve"> </w:t>
      </w:r>
      <w:r>
        <w:rPr>
          <w:rFonts w:hint="eastAsia" w:ascii="Times New Roman" w:hAnsi="Times New Roman"/>
          <w:i/>
          <w:iCs/>
          <w:sz w:val="20"/>
          <w:szCs w:val="20"/>
        </w:rPr>
        <w:t xml:space="preserve">For aggregation of SRS resources, considering one DCI/MAC CE to schedule SRS resource sets in all aggregated carriers.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xml:space="preserve"> Based on the discussions and evaluations above, we can observe</w:t>
      </w:r>
    </w:p>
    <w:p>
      <w:pPr>
        <w:numPr>
          <w:ilvl w:val="0"/>
          <w:numId w:val="7"/>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If ideal LOS identification is assumed, sub-meter level requirement at 90% UEs can be met.</w:t>
      </w:r>
    </w:p>
    <w:p>
      <w:pPr>
        <w:numPr>
          <w:ilvl w:val="0"/>
          <w:numId w:val="7"/>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Outlier rejection based scheme can</w:t>
      </w:r>
      <w:r>
        <w:rPr>
          <w:rFonts w:ascii="Times New Roman" w:hAnsi="Times New Roman"/>
          <w:i/>
          <w:iCs/>
          <w:sz w:val="20"/>
          <w:szCs w:val="20"/>
        </w:rPr>
        <w:t>’</w:t>
      </w:r>
      <w:r>
        <w:rPr>
          <w:rFonts w:hint="eastAsia" w:ascii="Times New Roman" w:hAnsi="Times New Roman"/>
          <w:i/>
          <w:iCs/>
          <w:sz w:val="20"/>
          <w:szCs w:val="20"/>
        </w:rPr>
        <w:t>t satisfy the stringent requirement in Rel-17.</w:t>
      </w:r>
    </w:p>
    <w:p>
      <w:pPr>
        <w:numPr>
          <w:ilvl w:val="0"/>
          <w:numId w:val="7"/>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C</w:t>
      </w:r>
      <w:r>
        <w:rPr>
          <w:rFonts w:ascii="Times New Roman" w:hAnsi="Times New Roman"/>
          <w:i/>
          <w:iCs/>
          <w:sz w:val="20"/>
          <w:szCs w:val="20"/>
        </w:rPr>
        <w:t>oherence bandwidth is a good metric to assist determination of LOS &amp; NLOS communication links</w:t>
      </w:r>
      <w:r>
        <w:rPr>
          <w:rFonts w:hint="eastAsia" w:ascii="Times New Roman" w:hAnsi="Times New Roman"/>
          <w:i/>
          <w:iCs/>
          <w:sz w:val="20"/>
          <w:szCs w:val="20"/>
        </w:rPr>
        <w:t>.</w:t>
      </w:r>
    </w:p>
    <w:p>
      <w:pPr>
        <w:spacing w:after="0" w:line="240" w:lineRule="auto"/>
        <w:rPr>
          <w:rFonts w:ascii="Times New Roman" w:hAnsi="Times New Roman"/>
          <w:sz w:val="20"/>
          <w:szCs w:val="20"/>
        </w:rPr>
      </w:pPr>
      <w:r>
        <w:rPr>
          <w:rFonts w:hint="eastAsia" w:ascii="Times New Roman" w:hAnsi="Times New Roman"/>
          <w:b/>
          <w:bCs/>
          <w:i/>
          <w:iCs/>
          <w:sz w:val="20"/>
          <w:szCs w:val="20"/>
        </w:rPr>
        <w:t>Proposal 6</w:t>
      </w:r>
      <w:r>
        <w:rPr>
          <w:rFonts w:hint="eastAsia" w:ascii="Times New Roman" w:hAnsi="Times New Roman"/>
          <w:i/>
          <w:iCs/>
          <w:sz w:val="20"/>
          <w:szCs w:val="20"/>
        </w:rPr>
        <w:t>: Enhancements of information reporting from UE and gNB for supporting multipath/NLOS mitigation should be in the WI scope of Rel-17 NR positioning.</w:t>
      </w:r>
    </w:p>
    <w:p>
      <w:pPr>
        <w:pStyle w:val="2"/>
        <w:snapToGrid w:val="0"/>
        <w:spacing w:before="180" w:beforeLines="50" w:after="180" w:afterLines="50"/>
        <w:ind w:left="431" w:hanging="431"/>
        <w:rPr>
          <w:rFonts w:ascii="Times New Roman" w:hAnsi="Times New Roman"/>
          <w:sz w:val="28"/>
          <w:lang w:val="en-US"/>
        </w:rPr>
      </w:pPr>
      <w:bookmarkStart w:id="7" w:name="OLE_LINK11"/>
      <w:bookmarkStart w:id="8" w:name="OLE_LINK10"/>
      <w:r>
        <w:rPr>
          <w:rFonts w:ascii="Times New Roman" w:hAnsi="Times New Roman"/>
          <w:sz w:val="28"/>
          <w:lang w:val="en-US"/>
        </w:rPr>
        <w:t>References</w:t>
      </w:r>
    </w:p>
    <w:bookmarkEnd w:id="7"/>
    <w:bookmarkEnd w:id="8"/>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sz w:val="20"/>
          <w:szCs w:val="20"/>
        </w:rPr>
        <w:t>3GPP TR 38.857 V1.0.0 (2020-12) Study on NR Positioning Enhancements, Release 17</w:t>
      </w:r>
    </w:p>
    <w:p>
      <w:pPr>
        <w:numPr>
          <w:ilvl w:val="0"/>
          <w:numId w:val="8"/>
        </w:numPr>
        <w:snapToGrid w:val="0"/>
        <w:spacing w:after="0" w:line="240" w:lineRule="auto"/>
        <w:jc w:val="both"/>
        <w:rPr>
          <w:rFonts w:ascii="Times New Roman" w:hAnsi="Times New Roman"/>
          <w:sz w:val="20"/>
          <w:szCs w:val="20"/>
        </w:rPr>
      </w:pPr>
      <w:r>
        <w:fldChar w:fldCharType="begin"/>
      </w:r>
      <w:r>
        <w:instrText xml:space="preserve"> HYPERLINK "http://www.3gpp.org/ftp/tsg_ran/TSG_RAN/TSGR_90e/Docs/RP-202900.zip" </w:instrText>
      </w:r>
      <w:r>
        <w:fldChar w:fldCharType="separate"/>
      </w:r>
      <w:r>
        <w:rPr>
          <w:rFonts w:hint="eastAsia" w:ascii="Times New Roman" w:hAnsi="Times New Roman"/>
          <w:sz w:val="20"/>
          <w:szCs w:val="20"/>
        </w:rPr>
        <w:t>RP-202900</w:t>
      </w:r>
      <w:r>
        <w:rPr>
          <w:rFonts w:hint="eastAsia" w:ascii="Times New Roman" w:hAnsi="Times New Roman"/>
          <w:sz w:val="20"/>
          <w:szCs w:val="20"/>
        </w:rPr>
        <w:fldChar w:fldCharType="end"/>
      </w:r>
      <w:r>
        <w:rPr>
          <w:rFonts w:hint="eastAsia" w:ascii="Times New Roman" w:hAnsi="Times New Roman"/>
          <w:sz w:val="20"/>
          <w:szCs w:val="20"/>
        </w:rPr>
        <w:t xml:space="preserve"> , New WID on NR Positioning Enhancements, CATT, Intel Corporation, Ericsson</w:t>
      </w:r>
    </w:p>
    <w:p>
      <w:pPr>
        <w:numPr>
          <w:ilvl w:val="0"/>
          <w:numId w:val="8"/>
        </w:numPr>
        <w:snapToGrid w:val="0"/>
        <w:spacing w:after="0" w:line="240" w:lineRule="auto"/>
        <w:jc w:val="both"/>
        <w:rPr>
          <w:rFonts w:ascii="Times New Roman" w:hAnsi="Times New Roman"/>
          <w:sz w:val="20"/>
          <w:szCs w:val="20"/>
          <w:lang w:val="en-GB"/>
        </w:rPr>
      </w:pPr>
      <w:r>
        <w:rPr>
          <w:rFonts w:hint="eastAsia" w:ascii="Times New Roman" w:hAnsi="Times New Roman"/>
          <w:sz w:val="20"/>
          <w:szCs w:val="20"/>
        </w:rPr>
        <w:t>A Density-Based Algorithm for Discovering Clusters in Large Spatial Databases with Noise, M Ester, HP Kriegel，Jrg Sander，X Xu</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BatangChe">
    <w:altName w:val="Malgun Gothic"/>
    <w:panose1 w:val="00000000000000000000"/>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C0560F92"/>
    <w:multiLevelType w:val="singleLevel"/>
    <w:tmpl w:val="C0560F92"/>
    <w:lvl w:ilvl="0" w:tentative="0">
      <w:start w:val="1"/>
      <w:numFmt w:val="bullet"/>
      <w:lvlText w:val="-"/>
      <w:lvlJc w:val="left"/>
      <w:pPr>
        <w:ind w:left="420" w:hanging="420"/>
      </w:pPr>
      <w:rPr>
        <w:rFonts w:hint="default" w:ascii="BatangChe" w:hAnsi="BatangChe" w:eastAsia="BatangChe" w:cs="BatangChe"/>
      </w:rPr>
    </w:lvl>
  </w:abstractNum>
  <w:abstractNum w:abstractNumId="2">
    <w:nsid w:val="222CAAED"/>
    <w:multiLevelType w:val="singleLevel"/>
    <w:tmpl w:val="222CAAED"/>
    <w:lvl w:ilvl="0" w:tentative="0">
      <w:start w:val="1"/>
      <w:numFmt w:val="bullet"/>
      <w:lvlText w:val="-"/>
      <w:lvlJc w:val="left"/>
      <w:pPr>
        <w:ind w:left="420" w:hanging="420"/>
      </w:pPr>
      <w:rPr>
        <w:rFonts w:hint="default" w:ascii="BatangChe" w:hAnsi="BatangChe" w:eastAsia="BatangChe" w:cs="BatangChe"/>
      </w:rPr>
    </w:lvl>
  </w:abstractNum>
  <w:abstractNum w:abstractNumId="3">
    <w:nsid w:val="3B3C648E"/>
    <w:multiLevelType w:val="singleLevel"/>
    <w:tmpl w:val="3B3C648E"/>
    <w:lvl w:ilvl="0" w:tentative="0">
      <w:start w:val="1"/>
      <w:numFmt w:val="bullet"/>
      <w:lvlText w:val="-"/>
      <w:lvlJc w:val="left"/>
      <w:pPr>
        <w:ind w:left="420" w:hanging="420"/>
      </w:pPr>
      <w:rPr>
        <w:rFonts w:hint="default" w:ascii="BatangChe" w:hAnsi="BatangChe" w:eastAsia="BatangChe" w:cs="BatangChe"/>
      </w:rPr>
    </w:lvl>
  </w:abstractNum>
  <w:abstractNum w:abstractNumId="4">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4E77F35"/>
    <w:multiLevelType w:val="singleLevel"/>
    <w:tmpl w:val="44E77F35"/>
    <w:lvl w:ilvl="0" w:tentative="0">
      <w:start w:val="1"/>
      <w:numFmt w:val="bullet"/>
      <w:lvlText w:val="-"/>
      <w:lvlJc w:val="left"/>
      <w:pPr>
        <w:ind w:left="420" w:hanging="420"/>
      </w:pPr>
      <w:rPr>
        <w:rFonts w:hint="default" w:ascii="BatangChe" w:hAnsi="BatangChe" w:eastAsia="BatangChe" w:cs="BatangChe"/>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7F07893"/>
    <w:multiLevelType w:val="multilevel"/>
    <w:tmpl w:val="77F07893"/>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2576" w:hanging="360"/>
      </w:pPr>
      <w:rPr>
        <w:rFonts w:hint="default" w:ascii="Courier New" w:hAnsi="Courier New" w:cs="Courier New"/>
      </w:rPr>
    </w:lvl>
    <w:lvl w:ilvl="2" w:tentative="0">
      <w:start w:val="1"/>
      <w:numFmt w:val="bullet"/>
      <w:lvlText w:val=""/>
      <w:lvlJc w:val="left"/>
      <w:pPr>
        <w:ind w:left="3296" w:hanging="360"/>
      </w:pPr>
      <w:rPr>
        <w:rFonts w:hint="default" w:ascii="Wingdings" w:hAnsi="Wingdings"/>
      </w:rPr>
    </w:lvl>
    <w:lvl w:ilvl="3" w:tentative="0">
      <w:start w:val="1"/>
      <w:numFmt w:val="bullet"/>
      <w:lvlText w:val=""/>
      <w:lvlJc w:val="left"/>
      <w:pPr>
        <w:ind w:left="4016" w:hanging="360"/>
      </w:pPr>
      <w:rPr>
        <w:rFonts w:hint="default" w:ascii="Symbol" w:hAnsi="Symbol"/>
      </w:rPr>
    </w:lvl>
    <w:lvl w:ilvl="4" w:tentative="0">
      <w:start w:val="1"/>
      <w:numFmt w:val="bullet"/>
      <w:lvlText w:val="o"/>
      <w:lvlJc w:val="left"/>
      <w:pPr>
        <w:ind w:left="4736" w:hanging="360"/>
      </w:pPr>
      <w:rPr>
        <w:rFonts w:hint="default" w:ascii="Courier New" w:hAnsi="Courier New" w:cs="Courier New"/>
      </w:rPr>
    </w:lvl>
    <w:lvl w:ilvl="5" w:tentative="0">
      <w:start w:val="1"/>
      <w:numFmt w:val="bullet"/>
      <w:lvlText w:val=""/>
      <w:lvlJc w:val="left"/>
      <w:pPr>
        <w:ind w:left="5456" w:hanging="360"/>
      </w:pPr>
      <w:rPr>
        <w:rFonts w:hint="default" w:ascii="Wingdings" w:hAnsi="Wingdings"/>
      </w:rPr>
    </w:lvl>
    <w:lvl w:ilvl="6" w:tentative="0">
      <w:start w:val="1"/>
      <w:numFmt w:val="bullet"/>
      <w:lvlText w:val=""/>
      <w:lvlJc w:val="left"/>
      <w:pPr>
        <w:ind w:left="6176" w:hanging="360"/>
      </w:pPr>
      <w:rPr>
        <w:rFonts w:hint="default" w:ascii="Symbol" w:hAnsi="Symbol"/>
      </w:rPr>
    </w:lvl>
    <w:lvl w:ilvl="7" w:tentative="0">
      <w:start w:val="1"/>
      <w:numFmt w:val="bullet"/>
      <w:lvlText w:val="o"/>
      <w:lvlJc w:val="left"/>
      <w:pPr>
        <w:ind w:left="6896" w:hanging="360"/>
      </w:pPr>
      <w:rPr>
        <w:rFonts w:hint="default" w:ascii="Courier New" w:hAnsi="Courier New" w:cs="Courier New"/>
      </w:rPr>
    </w:lvl>
    <w:lvl w:ilvl="8" w:tentative="0">
      <w:start w:val="1"/>
      <w:numFmt w:val="bullet"/>
      <w:lvlText w:val=""/>
      <w:lvlJc w:val="left"/>
      <w:pPr>
        <w:ind w:left="7616" w:hanging="360"/>
      </w:pPr>
      <w:rPr>
        <w:rFonts w:hint="default" w:ascii="Wingdings" w:hAnsi="Wingdings"/>
      </w:rPr>
    </w:lvl>
  </w:abstractNum>
  <w:num w:numId="1">
    <w:abstractNumId w:val="6"/>
  </w:num>
  <w:num w:numId="2">
    <w:abstractNumId w:val="4"/>
  </w:num>
  <w:num w:numId="3">
    <w:abstractNumId w:val="7"/>
  </w:num>
  <w:num w:numId="4">
    <w:abstractNumId w:val="3"/>
  </w:num>
  <w:num w:numId="5">
    <w:abstractNumId w:val="1"/>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9B2"/>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A43"/>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0E13"/>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4DB"/>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B7D"/>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10"/>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89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AA6"/>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2B"/>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031EE"/>
    <w:rsid w:val="01627462"/>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819E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364E2"/>
    <w:rsid w:val="02141E62"/>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63ACB"/>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205"/>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05860"/>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2914B5"/>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4654A5"/>
    <w:rsid w:val="07487206"/>
    <w:rsid w:val="075453F9"/>
    <w:rsid w:val="07574884"/>
    <w:rsid w:val="075B498A"/>
    <w:rsid w:val="0764669C"/>
    <w:rsid w:val="07654F7A"/>
    <w:rsid w:val="07662B3F"/>
    <w:rsid w:val="076816D4"/>
    <w:rsid w:val="076A7C05"/>
    <w:rsid w:val="07736621"/>
    <w:rsid w:val="07767F1E"/>
    <w:rsid w:val="07781143"/>
    <w:rsid w:val="077B726A"/>
    <w:rsid w:val="077E3FD9"/>
    <w:rsid w:val="07965968"/>
    <w:rsid w:val="07965DE6"/>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53C01"/>
    <w:rsid w:val="07E80F0B"/>
    <w:rsid w:val="07E85037"/>
    <w:rsid w:val="07E9446A"/>
    <w:rsid w:val="07EA3399"/>
    <w:rsid w:val="07EC19F5"/>
    <w:rsid w:val="07EF7092"/>
    <w:rsid w:val="07F06E95"/>
    <w:rsid w:val="07F62E9A"/>
    <w:rsid w:val="07FA5E03"/>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F430B"/>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182B"/>
    <w:rsid w:val="0BA82B04"/>
    <w:rsid w:val="0BAA4E39"/>
    <w:rsid w:val="0BAC469F"/>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879AE"/>
    <w:rsid w:val="0BE96788"/>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BB5D06"/>
    <w:rsid w:val="0DC75B70"/>
    <w:rsid w:val="0DC93981"/>
    <w:rsid w:val="0DD32B50"/>
    <w:rsid w:val="0DD339D9"/>
    <w:rsid w:val="0DD75970"/>
    <w:rsid w:val="0DDB1764"/>
    <w:rsid w:val="0DDC336A"/>
    <w:rsid w:val="0DDF4F05"/>
    <w:rsid w:val="0DE00F77"/>
    <w:rsid w:val="0DE322D6"/>
    <w:rsid w:val="0DE8384C"/>
    <w:rsid w:val="0DF37748"/>
    <w:rsid w:val="0E0B7F2C"/>
    <w:rsid w:val="0E1375FA"/>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EFE6F48"/>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356B2"/>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66BB7"/>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0F428D9"/>
    <w:rsid w:val="11032AF5"/>
    <w:rsid w:val="11032FE0"/>
    <w:rsid w:val="11056310"/>
    <w:rsid w:val="11082C9A"/>
    <w:rsid w:val="110B5E3A"/>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10FEA"/>
    <w:rsid w:val="11B2612B"/>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83A09"/>
    <w:rsid w:val="127E6792"/>
    <w:rsid w:val="127F52A7"/>
    <w:rsid w:val="128301BF"/>
    <w:rsid w:val="128303BF"/>
    <w:rsid w:val="129C4B1E"/>
    <w:rsid w:val="12A04A0D"/>
    <w:rsid w:val="12A13BDA"/>
    <w:rsid w:val="12A142E5"/>
    <w:rsid w:val="12A8272F"/>
    <w:rsid w:val="12AC6C59"/>
    <w:rsid w:val="12AE2A22"/>
    <w:rsid w:val="12B209E5"/>
    <w:rsid w:val="12B43E24"/>
    <w:rsid w:val="12C336A4"/>
    <w:rsid w:val="12C444E1"/>
    <w:rsid w:val="12C60939"/>
    <w:rsid w:val="12DA12F7"/>
    <w:rsid w:val="12E0156B"/>
    <w:rsid w:val="12E932B4"/>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D65F1"/>
    <w:rsid w:val="147C4CAE"/>
    <w:rsid w:val="149C2E77"/>
    <w:rsid w:val="14A5629F"/>
    <w:rsid w:val="14B3042E"/>
    <w:rsid w:val="14C453B3"/>
    <w:rsid w:val="14CB0620"/>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A4E6B"/>
    <w:rsid w:val="153D0A90"/>
    <w:rsid w:val="153D638E"/>
    <w:rsid w:val="154D3BE2"/>
    <w:rsid w:val="15512718"/>
    <w:rsid w:val="155710AC"/>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15EAC"/>
    <w:rsid w:val="15B274DC"/>
    <w:rsid w:val="15B51F07"/>
    <w:rsid w:val="15B64890"/>
    <w:rsid w:val="15B7100A"/>
    <w:rsid w:val="15BA1EF1"/>
    <w:rsid w:val="15BB7F8A"/>
    <w:rsid w:val="15C532BF"/>
    <w:rsid w:val="15CB56F8"/>
    <w:rsid w:val="15D0130C"/>
    <w:rsid w:val="15D2523F"/>
    <w:rsid w:val="15D2564C"/>
    <w:rsid w:val="15D61E56"/>
    <w:rsid w:val="15DC216E"/>
    <w:rsid w:val="15E2589A"/>
    <w:rsid w:val="15E577C7"/>
    <w:rsid w:val="15EA10AD"/>
    <w:rsid w:val="15EB18DC"/>
    <w:rsid w:val="15F04781"/>
    <w:rsid w:val="160856FA"/>
    <w:rsid w:val="160A3E2E"/>
    <w:rsid w:val="161409A3"/>
    <w:rsid w:val="161971DA"/>
    <w:rsid w:val="163E0BDC"/>
    <w:rsid w:val="164129F4"/>
    <w:rsid w:val="1642709F"/>
    <w:rsid w:val="16446CE1"/>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5241D"/>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82E25"/>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7F7C9A"/>
    <w:rsid w:val="188C17ED"/>
    <w:rsid w:val="1895157E"/>
    <w:rsid w:val="18A43227"/>
    <w:rsid w:val="18A518FF"/>
    <w:rsid w:val="18A574B1"/>
    <w:rsid w:val="18B05F65"/>
    <w:rsid w:val="18B542B4"/>
    <w:rsid w:val="18B645A5"/>
    <w:rsid w:val="18BA0F9E"/>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022BF"/>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0F22BF"/>
    <w:rsid w:val="1D132ACA"/>
    <w:rsid w:val="1D1A367B"/>
    <w:rsid w:val="1D2B0F93"/>
    <w:rsid w:val="1D315EEC"/>
    <w:rsid w:val="1D316B5C"/>
    <w:rsid w:val="1D320508"/>
    <w:rsid w:val="1D3E726C"/>
    <w:rsid w:val="1D3F121F"/>
    <w:rsid w:val="1D434B0A"/>
    <w:rsid w:val="1D471F2D"/>
    <w:rsid w:val="1D4B38F3"/>
    <w:rsid w:val="1D4B5D41"/>
    <w:rsid w:val="1D4F7EE9"/>
    <w:rsid w:val="1D5249A4"/>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25435"/>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D58D6"/>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23FC"/>
    <w:rsid w:val="1F1B3A11"/>
    <w:rsid w:val="1F2C4DDD"/>
    <w:rsid w:val="1F2D7DE6"/>
    <w:rsid w:val="1F2E587C"/>
    <w:rsid w:val="1F3965C5"/>
    <w:rsid w:val="1F3F7CB8"/>
    <w:rsid w:val="1F4446D7"/>
    <w:rsid w:val="1F454DA9"/>
    <w:rsid w:val="1F477D89"/>
    <w:rsid w:val="1F4D674C"/>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A5DE6"/>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7346A"/>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A7F9F"/>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5503A"/>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477C9"/>
    <w:rsid w:val="24965CCD"/>
    <w:rsid w:val="249D6F0E"/>
    <w:rsid w:val="24A03D43"/>
    <w:rsid w:val="24AB13AF"/>
    <w:rsid w:val="24AB6028"/>
    <w:rsid w:val="24B10DC1"/>
    <w:rsid w:val="24B22A0D"/>
    <w:rsid w:val="24B331B5"/>
    <w:rsid w:val="24B356C5"/>
    <w:rsid w:val="24BE00A1"/>
    <w:rsid w:val="24C73A3C"/>
    <w:rsid w:val="24D264D0"/>
    <w:rsid w:val="24D8775D"/>
    <w:rsid w:val="24D918FF"/>
    <w:rsid w:val="24E5269B"/>
    <w:rsid w:val="24EE263C"/>
    <w:rsid w:val="24EF13F1"/>
    <w:rsid w:val="24F978B1"/>
    <w:rsid w:val="24FE3045"/>
    <w:rsid w:val="250D00F8"/>
    <w:rsid w:val="250F009E"/>
    <w:rsid w:val="2518734D"/>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8536C"/>
    <w:rsid w:val="25BA5FD6"/>
    <w:rsid w:val="25BC5A7D"/>
    <w:rsid w:val="25BD01B1"/>
    <w:rsid w:val="25C338EC"/>
    <w:rsid w:val="25C613D4"/>
    <w:rsid w:val="25C722A0"/>
    <w:rsid w:val="25CA4650"/>
    <w:rsid w:val="25CD5887"/>
    <w:rsid w:val="25D2700D"/>
    <w:rsid w:val="25D37D50"/>
    <w:rsid w:val="25DE7808"/>
    <w:rsid w:val="25E10B12"/>
    <w:rsid w:val="25E6527D"/>
    <w:rsid w:val="25F15AFF"/>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B3DDF"/>
    <w:rsid w:val="26AF7EB1"/>
    <w:rsid w:val="26B51BDF"/>
    <w:rsid w:val="26B82CF0"/>
    <w:rsid w:val="26B8558F"/>
    <w:rsid w:val="26BB6D43"/>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1375C"/>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1E519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75335"/>
    <w:rsid w:val="28A9531B"/>
    <w:rsid w:val="28A95880"/>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06D1"/>
    <w:rsid w:val="291E162B"/>
    <w:rsid w:val="292E488D"/>
    <w:rsid w:val="2932177F"/>
    <w:rsid w:val="29332D86"/>
    <w:rsid w:val="293B6623"/>
    <w:rsid w:val="293C4A53"/>
    <w:rsid w:val="294438A1"/>
    <w:rsid w:val="29473510"/>
    <w:rsid w:val="29473AA4"/>
    <w:rsid w:val="29483821"/>
    <w:rsid w:val="294C3727"/>
    <w:rsid w:val="295072ED"/>
    <w:rsid w:val="29516A9C"/>
    <w:rsid w:val="295439EA"/>
    <w:rsid w:val="295C041A"/>
    <w:rsid w:val="2961437A"/>
    <w:rsid w:val="29672F7E"/>
    <w:rsid w:val="2972757D"/>
    <w:rsid w:val="297277DC"/>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E4DDD"/>
    <w:rsid w:val="2A3B2565"/>
    <w:rsid w:val="2A3B3E69"/>
    <w:rsid w:val="2A3F15E1"/>
    <w:rsid w:val="2A451545"/>
    <w:rsid w:val="2A467378"/>
    <w:rsid w:val="2A4B11DF"/>
    <w:rsid w:val="2A4F54C7"/>
    <w:rsid w:val="2A664217"/>
    <w:rsid w:val="2A6E2A78"/>
    <w:rsid w:val="2A792BFF"/>
    <w:rsid w:val="2A7E6EB1"/>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1D2FCD"/>
    <w:rsid w:val="2B227650"/>
    <w:rsid w:val="2B2C22C2"/>
    <w:rsid w:val="2B2D65DC"/>
    <w:rsid w:val="2B302D1A"/>
    <w:rsid w:val="2B315CB1"/>
    <w:rsid w:val="2B321E0D"/>
    <w:rsid w:val="2B4564CE"/>
    <w:rsid w:val="2B55583D"/>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BF7311F"/>
    <w:rsid w:val="2C014C9D"/>
    <w:rsid w:val="2C04740C"/>
    <w:rsid w:val="2C0504F8"/>
    <w:rsid w:val="2C0577B1"/>
    <w:rsid w:val="2C1E5A47"/>
    <w:rsid w:val="2C311769"/>
    <w:rsid w:val="2C315244"/>
    <w:rsid w:val="2C40696C"/>
    <w:rsid w:val="2C433E00"/>
    <w:rsid w:val="2C436D28"/>
    <w:rsid w:val="2C4631EA"/>
    <w:rsid w:val="2C496564"/>
    <w:rsid w:val="2C4D619A"/>
    <w:rsid w:val="2C501603"/>
    <w:rsid w:val="2C512E63"/>
    <w:rsid w:val="2C5B1458"/>
    <w:rsid w:val="2C5F3E2E"/>
    <w:rsid w:val="2C617C53"/>
    <w:rsid w:val="2C65497E"/>
    <w:rsid w:val="2C667518"/>
    <w:rsid w:val="2C7631D7"/>
    <w:rsid w:val="2C790296"/>
    <w:rsid w:val="2C7E7AD5"/>
    <w:rsid w:val="2C8928F0"/>
    <w:rsid w:val="2C8C31C6"/>
    <w:rsid w:val="2C8D1E77"/>
    <w:rsid w:val="2C923F36"/>
    <w:rsid w:val="2C93579A"/>
    <w:rsid w:val="2C961AF8"/>
    <w:rsid w:val="2C9756BF"/>
    <w:rsid w:val="2CA14EDD"/>
    <w:rsid w:val="2CA867F5"/>
    <w:rsid w:val="2CAD5B03"/>
    <w:rsid w:val="2CAE3B13"/>
    <w:rsid w:val="2CAF788B"/>
    <w:rsid w:val="2CC66B06"/>
    <w:rsid w:val="2CC708B0"/>
    <w:rsid w:val="2CC712E9"/>
    <w:rsid w:val="2CD30CE3"/>
    <w:rsid w:val="2CD37602"/>
    <w:rsid w:val="2CE06AAF"/>
    <w:rsid w:val="2CE2098A"/>
    <w:rsid w:val="2CEE15E1"/>
    <w:rsid w:val="2CF06A3C"/>
    <w:rsid w:val="2CF26F5B"/>
    <w:rsid w:val="2CFF086A"/>
    <w:rsid w:val="2D064B26"/>
    <w:rsid w:val="2D086932"/>
    <w:rsid w:val="2D0C2C56"/>
    <w:rsid w:val="2D104632"/>
    <w:rsid w:val="2D304AEB"/>
    <w:rsid w:val="2D3072FE"/>
    <w:rsid w:val="2D31028B"/>
    <w:rsid w:val="2D33754E"/>
    <w:rsid w:val="2D356F9E"/>
    <w:rsid w:val="2D416432"/>
    <w:rsid w:val="2D420181"/>
    <w:rsid w:val="2D4537ED"/>
    <w:rsid w:val="2D4818E3"/>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E51C63"/>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65243"/>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C1FE5"/>
    <w:rsid w:val="2F0D6753"/>
    <w:rsid w:val="2F0F7940"/>
    <w:rsid w:val="2F1018F3"/>
    <w:rsid w:val="2F1405B3"/>
    <w:rsid w:val="2F154307"/>
    <w:rsid w:val="2F186C76"/>
    <w:rsid w:val="2F22051D"/>
    <w:rsid w:val="2F230191"/>
    <w:rsid w:val="2F241A4B"/>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5F3781"/>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84128"/>
    <w:rsid w:val="31A86778"/>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31DD1"/>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06AD4"/>
    <w:rsid w:val="33557FE0"/>
    <w:rsid w:val="3359556A"/>
    <w:rsid w:val="33601403"/>
    <w:rsid w:val="3369354A"/>
    <w:rsid w:val="336A45E2"/>
    <w:rsid w:val="3373347A"/>
    <w:rsid w:val="33742DCE"/>
    <w:rsid w:val="337C600B"/>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915EE"/>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D0723"/>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D6339"/>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5588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045E3"/>
    <w:rsid w:val="37E0780D"/>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8F3D99"/>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4787E"/>
    <w:rsid w:val="390E729C"/>
    <w:rsid w:val="39123E52"/>
    <w:rsid w:val="39126A08"/>
    <w:rsid w:val="391F1FF5"/>
    <w:rsid w:val="39231158"/>
    <w:rsid w:val="392B6C66"/>
    <w:rsid w:val="393E07AB"/>
    <w:rsid w:val="393E293F"/>
    <w:rsid w:val="39506734"/>
    <w:rsid w:val="395A6D19"/>
    <w:rsid w:val="395D0E21"/>
    <w:rsid w:val="39616FF1"/>
    <w:rsid w:val="39623B52"/>
    <w:rsid w:val="397319FF"/>
    <w:rsid w:val="39731B12"/>
    <w:rsid w:val="39765E70"/>
    <w:rsid w:val="39774BBD"/>
    <w:rsid w:val="397E3DAF"/>
    <w:rsid w:val="39847EB1"/>
    <w:rsid w:val="398704BB"/>
    <w:rsid w:val="39882427"/>
    <w:rsid w:val="39926717"/>
    <w:rsid w:val="399E1C0B"/>
    <w:rsid w:val="39A21811"/>
    <w:rsid w:val="39A66041"/>
    <w:rsid w:val="39AD28D5"/>
    <w:rsid w:val="39B261DB"/>
    <w:rsid w:val="39B857F7"/>
    <w:rsid w:val="39B90E5E"/>
    <w:rsid w:val="39BB3A94"/>
    <w:rsid w:val="39C1671E"/>
    <w:rsid w:val="39C7184A"/>
    <w:rsid w:val="39C724E0"/>
    <w:rsid w:val="39CB526D"/>
    <w:rsid w:val="39CD755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7E0308"/>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0C5A12"/>
    <w:rsid w:val="3B112207"/>
    <w:rsid w:val="3B112F57"/>
    <w:rsid w:val="3B1B5ED1"/>
    <w:rsid w:val="3B1C6939"/>
    <w:rsid w:val="3B1E3124"/>
    <w:rsid w:val="3B237FE2"/>
    <w:rsid w:val="3B257B7C"/>
    <w:rsid w:val="3B2E4EF4"/>
    <w:rsid w:val="3B415600"/>
    <w:rsid w:val="3B452280"/>
    <w:rsid w:val="3B4B4611"/>
    <w:rsid w:val="3B555758"/>
    <w:rsid w:val="3B556447"/>
    <w:rsid w:val="3B58515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B25FC"/>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078AA"/>
    <w:rsid w:val="40313493"/>
    <w:rsid w:val="40331444"/>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C84"/>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5B1E83"/>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945A8"/>
    <w:rsid w:val="424B7362"/>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5361D"/>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944BF"/>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356A3"/>
    <w:rsid w:val="43E567A6"/>
    <w:rsid w:val="43F66623"/>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81A56"/>
    <w:rsid w:val="44792B7D"/>
    <w:rsid w:val="44811DFB"/>
    <w:rsid w:val="448C594F"/>
    <w:rsid w:val="449120AF"/>
    <w:rsid w:val="44993369"/>
    <w:rsid w:val="449A124B"/>
    <w:rsid w:val="449A2278"/>
    <w:rsid w:val="449A3BBE"/>
    <w:rsid w:val="44A153A1"/>
    <w:rsid w:val="44A41705"/>
    <w:rsid w:val="44A53C78"/>
    <w:rsid w:val="44AB7230"/>
    <w:rsid w:val="44AF4277"/>
    <w:rsid w:val="44BA0CE9"/>
    <w:rsid w:val="44BA2F8A"/>
    <w:rsid w:val="44BB6751"/>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25052"/>
    <w:rsid w:val="45A71D2E"/>
    <w:rsid w:val="45B317CF"/>
    <w:rsid w:val="45B50138"/>
    <w:rsid w:val="45B55619"/>
    <w:rsid w:val="45BC136B"/>
    <w:rsid w:val="45C45E98"/>
    <w:rsid w:val="45CB77B5"/>
    <w:rsid w:val="45CE1AEB"/>
    <w:rsid w:val="45CF3D0C"/>
    <w:rsid w:val="45D6540C"/>
    <w:rsid w:val="45D70722"/>
    <w:rsid w:val="45DA00BF"/>
    <w:rsid w:val="45E87C6B"/>
    <w:rsid w:val="45EB60AB"/>
    <w:rsid w:val="45EE29B3"/>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DF3714"/>
    <w:rsid w:val="47E05908"/>
    <w:rsid w:val="47E16E71"/>
    <w:rsid w:val="47E63FE1"/>
    <w:rsid w:val="47E73175"/>
    <w:rsid w:val="47F74F17"/>
    <w:rsid w:val="47FF24E4"/>
    <w:rsid w:val="47FF743A"/>
    <w:rsid w:val="48147DE1"/>
    <w:rsid w:val="4818087E"/>
    <w:rsid w:val="481967BC"/>
    <w:rsid w:val="481C0B7F"/>
    <w:rsid w:val="481E4905"/>
    <w:rsid w:val="4823142E"/>
    <w:rsid w:val="482A6776"/>
    <w:rsid w:val="482B62CB"/>
    <w:rsid w:val="482E135A"/>
    <w:rsid w:val="48377CE3"/>
    <w:rsid w:val="48393F25"/>
    <w:rsid w:val="48446F23"/>
    <w:rsid w:val="484B326A"/>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840C2"/>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785"/>
    <w:rsid w:val="49B20B48"/>
    <w:rsid w:val="49B22890"/>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0D0BBD"/>
    <w:rsid w:val="4B135609"/>
    <w:rsid w:val="4B181592"/>
    <w:rsid w:val="4B1C67FA"/>
    <w:rsid w:val="4B2056D4"/>
    <w:rsid w:val="4B206A6B"/>
    <w:rsid w:val="4B3221B7"/>
    <w:rsid w:val="4B3C403E"/>
    <w:rsid w:val="4B441501"/>
    <w:rsid w:val="4B4A1E20"/>
    <w:rsid w:val="4B5B261F"/>
    <w:rsid w:val="4B687FD4"/>
    <w:rsid w:val="4B741C5B"/>
    <w:rsid w:val="4B751079"/>
    <w:rsid w:val="4B811257"/>
    <w:rsid w:val="4B816993"/>
    <w:rsid w:val="4B83233B"/>
    <w:rsid w:val="4B866544"/>
    <w:rsid w:val="4B8A22D9"/>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9481A"/>
    <w:rsid w:val="4C4A1538"/>
    <w:rsid w:val="4C4B5CF1"/>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A363F"/>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6D6AF6"/>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2F01EB"/>
    <w:rsid w:val="5034215C"/>
    <w:rsid w:val="50350B8A"/>
    <w:rsid w:val="503625F2"/>
    <w:rsid w:val="503A6544"/>
    <w:rsid w:val="503C53AC"/>
    <w:rsid w:val="5046799C"/>
    <w:rsid w:val="50535CB7"/>
    <w:rsid w:val="505A42A1"/>
    <w:rsid w:val="505B684C"/>
    <w:rsid w:val="50697F59"/>
    <w:rsid w:val="506C25B6"/>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1F1F27"/>
    <w:rsid w:val="51211654"/>
    <w:rsid w:val="513334E9"/>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52BF7"/>
    <w:rsid w:val="51AB65B4"/>
    <w:rsid w:val="51AF439A"/>
    <w:rsid w:val="51B66A68"/>
    <w:rsid w:val="51BC09C0"/>
    <w:rsid w:val="51BD7EC2"/>
    <w:rsid w:val="51C44E72"/>
    <w:rsid w:val="51CC7C75"/>
    <w:rsid w:val="51D34DB4"/>
    <w:rsid w:val="51DA0FA7"/>
    <w:rsid w:val="51E9366A"/>
    <w:rsid w:val="51EC7A89"/>
    <w:rsid w:val="51F950A0"/>
    <w:rsid w:val="52013C23"/>
    <w:rsid w:val="52022324"/>
    <w:rsid w:val="52161438"/>
    <w:rsid w:val="52180389"/>
    <w:rsid w:val="521B4203"/>
    <w:rsid w:val="521C1937"/>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34BB7"/>
    <w:rsid w:val="529A7E86"/>
    <w:rsid w:val="52AD4907"/>
    <w:rsid w:val="52AE7568"/>
    <w:rsid w:val="52B0158A"/>
    <w:rsid w:val="52B63DBD"/>
    <w:rsid w:val="52B916BC"/>
    <w:rsid w:val="52BF41DD"/>
    <w:rsid w:val="52C936C0"/>
    <w:rsid w:val="52CA7BC7"/>
    <w:rsid w:val="52CB74EB"/>
    <w:rsid w:val="52CE6819"/>
    <w:rsid w:val="52CF576A"/>
    <w:rsid w:val="52D02BD7"/>
    <w:rsid w:val="52DA3F13"/>
    <w:rsid w:val="52E838BE"/>
    <w:rsid w:val="52F42816"/>
    <w:rsid w:val="52FE47A9"/>
    <w:rsid w:val="53063DBD"/>
    <w:rsid w:val="53172A50"/>
    <w:rsid w:val="53240747"/>
    <w:rsid w:val="532522FD"/>
    <w:rsid w:val="5325629E"/>
    <w:rsid w:val="53275C7D"/>
    <w:rsid w:val="532A642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74F77"/>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BE7F3E"/>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6524C"/>
    <w:rsid w:val="5649734E"/>
    <w:rsid w:val="564E3688"/>
    <w:rsid w:val="56514294"/>
    <w:rsid w:val="566355DD"/>
    <w:rsid w:val="56680BC9"/>
    <w:rsid w:val="566926ED"/>
    <w:rsid w:val="567043C4"/>
    <w:rsid w:val="567119B3"/>
    <w:rsid w:val="56711FDB"/>
    <w:rsid w:val="567636B0"/>
    <w:rsid w:val="567E3000"/>
    <w:rsid w:val="567F4D05"/>
    <w:rsid w:val="568363E1"/>
    <w:rsid w:val="56857805"/>
    <w:rsid w:val="568F72CF"/>
    <w:rsid w:val="5694326C"/>
    <w:rsid w:val="569C7055"/>
    <w:rsid w:val="56A84128"/>
    <w:rsid w:val="56AC31BC"/>
    <w:rsid w:val="56B20B45"/>
    <w:rsid w:val="56B2689B"/>
    <w:rsid w:val="56B635AB"/>
    <w:rsid w:val="56BF1F76"/>
    <w:rsid w:val="56C0283E"/>
    <w:rsid w:val="56C05533"/>
    <w:rsid w:val="56D418EA"/>
    <w:rsid w:val="56D43345"/>
    <w:rsid w:val="56E161C4"/>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32988"/>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650C5B"/>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25B7B"/>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1F72"/>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16AB"/>
    <w:rsid w:val="5B663AED"/>
    <w:rsid w:val="5B69795A"/>
    <w:rsid w:val="5B6B2882"/>
    <w:rsid w:val="5B6F1970"/>
    <w:rsid w:val="5B72043B"/>
    <w:rsid w:val="5B770A85"/>
    <w:rsid w:val="5B7E1425"/>
    <w:rsid w:val="5B7E573E"/>
    <w:rsid w:val="5B822E9B"/>
    <w:rsid w:val="5B8578BE"/>
    <w:rsid w:val="5B8613B7"/>
    <w:rsid w:val="5B893FE8"/>
    <w:rsid w:val="5B8D3CBE"/>
    <w:rsid w:val="5B9247E6"/>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361AD4"/>
    <w:rsid w:val="5C3B47F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0B1305"/>
    <w:rsid w:val="5D1102F0"/>
    <w:rsid w:val="5D1315D5"/>
    <w:rsid w:val="5D241D0D"/>
    <w:rsid w:val="5D2853F4"/>
    <w:rsid w:val="5D287792"/>
    <w:rsid w:val="5D2C7B52"/>
    <w:rsid w:val="5D35120E"/>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C5FBE"/>
    <w:rsid w:val="5E0273F8"/>
    <w:rsid w:val="5E034523"/>
    <w:rsid w:val="5E090D92"/>
    <w:rsid w:val="5E0F732F"/>
    <w:rsid w:val="5E146038"/>
    <w:rsid w:val="5E2D2F8F"/>
    <w:rsid w:val="5E2E257F"/>
    <w:rsid w:val="5E335822"/>
    <w:rsid w:val="5E407912"/>
    <w:rsid w:val="5E433AC6"/>
    <w:rsid w:val="5E4376D0"/>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00B7"/>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04FC4"/>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D668C7"/>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23CDC"/>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CA2CE6"/>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386D3C"/>
    <w:rsid w:val="64491B17"/>
    <w:rsid w:val="644C64F7"/>
    <w:rsid w:val="64573736"/>
    <w:rsid w:val="64595EAC"/>
    <w:rsid w:val="64655408"/>
    <w:rsid w:val="646905B9"/>
    <w:rsid w:val="646A1498"/>
    <w:rsid w:val="646A4255"/>
    <w:rsid w:val="646C718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2F5F7E"/>
    <w:rsid w:val="66315775"/>
    <w:rsid w:val="66355B8E"/>
    <w:rsid w:val="66467706"/>
    <w:rsid w:val="664A400E"/>
    <w:rsid w:val="664E41D9"/>
    <w:rsid w:val="664F3140"/>
    <w:rsid w:val="665610A9"/>
    <w:rsid w:val="66590DCD"/>
    <w:rsid w:val="666358BC"/>
    <w:rsid w:val="66695AF1"/>
    <w:rsid w:val="666E74C1"/>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AE230C"/>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4480A"/>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2080B"/>
    <w:rsid w:val="69D5474D"/>
    <w:rsid w:val="69D87485"/>
    <w:rsid w:val="69DB51C3"/>
    <w:rsid w:val="69DE672A"/>
    <w:rsid w:val="69E80FA2"/>
    <w:rsid w:val="69F2148A"/>
    <w:rsid w:val="69F93223"/>
    <w:rsid w:val="6A11122C"/>
    <w:rsid w:val="6A145E00"/>
    <w:rsid w:val="6A193D7A"/>
    <w:rsid w:val="6A2322EE"/>
    <w:rsid w:val="6A257487"/>
    <w:rsid w:val="6A2A5F02"/>
    <w:rsid w:val="6A2E50D0"/>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DF3B73"/>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A10C4"/>
    <w:rsid w:val="6CDB1F23"/>
    <w:rsid w:val="6CE33F52"/>
    <w:rsid w:val="6CE3651E"/>
    <w:rsid w:val="6CE425FD"/>
    <w:rsid w:val="6CEC0B1B"/>
    <w:rsid w:val="6CEC3EFD"/>
    <w:rsid w:val="6CED120B"/>
    <w:rsid w:val="6CF36C4F"/>
    <w:rsid w:val="6CF543B5"/>
    <w:rsid w:val="6CF70AA0"/>
    <w:rsid w:val="6CF92732"/>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63CE1"/>
    <w:rsid w:val="6E0B72B9"/>
    <w:rsid w:val="6E0C686E"/>
    <w:rsid w:val="6E1451C2"/>
    <w:rsid w:val="6E2703E9"/>
    <w:rsid w:val="6E2971CC"/>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318F5"/>
    <w:rsid w:val="6F3C0E50"/>
    <w:rsid w:val="6F480882"/>
    <w:rsid w:val="6F5056DC"/>
    <w:rsid w:val="6F506CA5"/>
    <w:rsid w:val="6F52797F"/>
    <w:rsid w:val="6F5334ED"/>
    <w:rsid w:val="6F5D0749"/>
    <w:rsid w:val="6F602211"/>
    <w:rsid w:val="6F6728D3"/>
    <w:rsid w:val="6F6815BC"/>
    <w:rsid w:val="6F6F70EB"/>
    <w:rsid w:val="6F737123"/>
    <w:rsid w:val="6F7526E7"/>
    <w:rsid w:val="6F755174"/>
    <w:rsid w:val="6F7C7410"/>
    <w:rsid w:val="6F7E39F5"/>
    <w:rsid w:val="6F812543"/>
    <w:rsid w:val="6F8633D8"/>
    <w:rsid w:val="6F9305E3"/>
    <w:rsid w:val="6F9A7B32"/>
    <w:rsid w:val="6F9D3971"/>
    <w:rsid w:val="6FBA7AB0"/>
    <w:rsid w:val="6FBC4B72"/>
    <w:rsid w:val="6FC07B9E"/>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864A4"/>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0C8F"/>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8564A"/>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2177D"/>
    <w:rsid w:val="74F95012"/>
    <w:rsid w:val="74FC5BB3"/>
    <w:rsid w:val="7502115E"/>
    <w:rsid w:val="750842CC"/>
    <w:rsid w:val="750F4E7A"/>
    <w:rsid w:val="75181445"/>
    <w:rsid w:val="751A36F4"/>
    <w:rsid w:val="7526226A"/>
    <w:rsid w:val="75280AAD"/>
    <w:rsid w:val="752F371C"/>
    <w:rsid w:val="7533743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66278"/>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C5482F"/>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4F3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A04FF"/>
    <w:rsid w:val="791C6390"/>
    <w:rsid w:val="791E56E4"/>
    <w:rsid w:val="79204284"/>
    <w:rsid w:val="79205F77"/>
    <w:rsid w:val="7922368F"/>
    <w:rsid w:val="79331259"/>
    <w:rsid w:val="793706B9"/>
    <w:rsid w:val="7938329D"/>
    <w:rsid w:val="793A1AE4"/>
    <w:rsid w:val="793C7B07"/>
    <w:rsid w:val="794621D6"/>
    <w:rsid w:val="794A6843"/>
    <w:rsid w:val="79506450"/>
    <w:rsid w:val="795134B6"/>
    <w:rsid w:val="795E06F8"/>
    <w:rsid w:val="795E094E"/>
    <w:rsid w:val="795E35AB"/>
    <w:rsid w:val="79620926"/>
    <w:rsid w:val="79681A85"/>
    <w:rsid w:val="79725241"/>
    <w:rsid w:val="79732E77"/>
    <w:rsid w:val="79740FDB"/>
    <w:rsid w:val="79743161"/>
    <w:rsid w:val="79792AC6"/>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85FAD"/>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76F6A"/>
    <w:rsid w:val="7B394BFD"/>
    <w:rsid w:val="7B3A5226"/>
    <w:rsid w:val="7B4B4A95"/>
    <w:rsid w:val="7B5B06E6"/>
    <w:rsid w:val="7B61362C"/>
    <w:rsid w:val="7B7501AD"/>
    <w:rsid w:val="7B78034A"/>
    <w:rsid w:val="7B783B01"/>
    <w:rsid w:val="7B8D7752"/>
    <w:rsid w:val="7B8E37DE"/>
    <w:rsid w:val="7B8F47C7"/>
    <w:rsid w:val="7B914B96"/>
    <w:rsid w:val="7B927B14"/>
    <w:rsid w:val="7B950516"/>
    <w:rsid w:val="7B9567A9"/>
    <w:rsid w:val="7B9A7554"/>
    <w:rsid w:val="7B9E2E81"/>
    <w:rsid w:val="7BA14E08"/>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AC63CB"/>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7617A6"/>
    <w:rsid w:val="7E822269"/>
    <w:rsid w:val="7E8B5212"/>
    <w:rsid w:val="7E8B5C41"/>
    <w:rsid w:val="7E8C0FAB"/>
    <w:rsid w:val="7E8C7BC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A3953"/>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 w:type="character" w:customStyle="1" w:styleId="90">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FAB01B-DA50-44AA-8F6A-6CB8ACBF136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2088</Words>
  <Characters>11906</Characters>
  <Lines>99</Lines>
  <Paragraphs>27</Paragraphs>
  <TotalTime>261</TotalTime>
  <ScaleCrop>false</ScaleCrop>
  <LinksUpToDate>false</LinksUpToDate>
  <CharactersWithSpaces>13967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2021-01-18T08:15:59Z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